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1B2D4" w14:textId="77777777" w:rsidR="00D752E2" w:rsidRPr="00841BCD" w:rsidRDefault="00D752E2" w:rsidP="00D752E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#91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3B4C89">
        <w:rPr>
          <w:rFonts w:ascii="Arial" w:eastAsia="SimSun" w:hAnsi="Arial" w:cs="Times New Roman"/>
          <w:b/>
          <w:bCs/>
          <w:sz w:val="24"/>
          <w:szCs w:val="20"/>
          <w:lang w:val="en-GB" w:eastAsia="ja-JP"/>
        </w:rPr>
        <w:t>R4-1906238</w:t>
      </w:r>
    </w:p>
    <w:p w14:paraId="1C965EBC" w14:textId="77777777" w:rsidR="00D752E2" w:rsidRPr="00841BCD" w:rsidRDefault="00D752E2" w:rsidP="00D752E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 United States, 13 – 17 May 2019</w:t>
      </w:r>
    </w:p>
    <w:bookmarkEnd w:id="0"/>
    <w:bookmarkEnd w:id="1"/>
    <w:p w14:paraId="4FBD258B" w14:textId="77777777" w:rsidR="00D752E2" w:rsidRPr="00841BCD" w:rsidRDefault="00D752E2" w:rsidP="00D752E2">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265617C5" w14:textId="77777777" w:rsidR="00D752E2" w:rsidRPr="00841BCD" w:rsidRDefault="00D752E2" w:rsidP="00D752E2">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4FDAA4FA" w14:textId="77777777" w:rsidR="00D752E2" w:rsidRPr="00841BCD" w:rsidRDefault="00D752E2" w:rsidP="00D752E2">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Pr="003B4C89">
        <w:rPr>
          <w:rFonts w:ascii="Arial" w:eastAsia="Calibri" w:hAnsi="Arial" w:cs="Arial"/>
          <w:b/>
          <w:bCs/>
          <w:sz w:val="24"/>
          <w:lang w:val="en-GB"/>
        </w:rPr>
        <w:t>Handover to known FR2 cell</w:t>
      </w:r>
    </w:p>
    <w:p w14:paraId="11F7DE72" w14:textId="77777777" w:rsidR="00D752E2" w:rsidRPr="00841BCD" w:rsidRDefault="00D752E2" w:rsidP="00D752E2">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Pr="003B4C89">
        <w:rPr>
          <w:rFonts w:ascii="Arial" w:eastAsia="MS Mincho" w:hAnsi="Arial" w:cs="Arial"/>
          <w:b/>
          <w:bCs/>
          <w:sz w:val="24"/>
          <w:szCs w:val="20"/>
          <w:lang w:val="en-GB"/>
        </w:rPr>
        <w:t>6.10.5.1.1</w:t>
      </w:r>
    </w:p>
    <w:p w14:paraId="6D1D63CC" w14:textId="77777777" w:rsidR="00D752E2" w:rsidRPr="00841BCD" w:rsidRDefault="00D752E2" w:rsidP="00D752E2">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Discussion</w:t>
      </w:r>
    </w:p>
    <w:p w14:paraId="1B8A85A5" w14:textId="77777777" w:rsidR="00D752E2" w:rsidRDefault="00D752E2" w:rsidP="00D752E2">
      <w:pPr>
        <w:pStyle w:val="RAN4H1"/>
      </w:pPr>
      <w:r w:rsidRPr="00AE56B1">
        <w:t>Intro</w:t>
      </w:r>
      <w:r w:rsidRPr="00AE56B1">
        <w:rPr>
          <w:rStyle w:val="RAN4H1Char"/>
        </w:rPr>
        <w:t>ductio</w:t>
      </w:r>
      <w:r w:rsidRPr="00AE56B1">
        <w:t>n</w:t>
      </w:r>
    </w:p>
    <w:p w14:paraId="2C35BA39" w14:textId="77777777" w:rsidR="00D752E2" w:rsidRPr="005C23A4" w:rsidRDefault="00D752E2" w:rsidP="00D752E2">
      <w:pPr>
        <w:rPr>
          <w:lang w:val="en-GB"/>
        </w:rPr>
      </w:pPr>
      <w:r>
        <w:rPr>
          <w:lang w:val="en-GB"/>
        </w:rPr>
        <w:t>In RAN4#90bis meeting, way forwards were agreed for SCell activation [1] and PSCell addition [2] to define known FR2 cell condition for the initial cell in an FR2 band. For handover, no agreement for known cell condition was yet captured, so the requirements for handovers to FR2 cells still only consider all target FR2 cells as unknown. This means that handover to FR2 target is always blind handover. In this contribution we discuss the known FR2 cell definition for handover based on the agreed WF for PSCell addition.</w:t>
      </w:r>
    </w:p>
    <w:p w14:paraId="2435E7CA" w14:textId="77777777" w:rsidR="00D752E2" w:rsidRDefault="00D752E2" w:rsidP="00D752E2">
      <w:pPr>
        <w:pStyle w:val="RAN4H1"/>
      </w:pPr>
      <w:r w:rsidRPr="00AE56B1">
        <w:t>Discussion</w:t>
      </w:r>
    </w:p>
    <w:p w14:paraId="4309E402" w14:textId="2A570037" w:rsidR="00D752E2" w:rsidRPr="00325B64" w:rsidRDefault="00D752E2" w:rsidP="00D752E2">
      <w:pPr>
        <w:rPr>
          <w:lang w:val="en-GB"/>
        </w:rPr>
      </w:pPr>
      <w:r>
        <w:rPr>
          <w:lang w:val="en-GB"/>
        </w:rPr>
        <w:t xml:space="preserve">As being said, for handover requirements, no agreement on the known cell condition was captured, but based on the online and offline discussions, it seemed that it could be agreeable to companies to use PSCell addition principle as a baseline for known cell condition for handover to FR2 cells. In the following we propose how to capture </w:t>
      </w:r>
      <w:proofErr w:type="gramStart"/>
      <w:r>
        <w:rPr>
          <w:lang w:val="en-GB"/>
        </w:rPr>
        <w:t>the a</w:t>
      </w:r>
      <w:proofErr w:type="gramEnd"/>
      <w:r>
        <w:rPr>
          <w:lang w:val="en-GB"/>
        </w:rPr>
        <w:t xml:space="preserve"> principle suitable for handovers. In the discussion we would like to also refer to the discussion in our company paper on PSCell addition [3].</w:t>
      </w:r>
    </w:p>
    <w:p w14:paraId="6D7D0055" w14:textId="77777777" w:rsidR="00D752E2" w:rsidRDefault="00D752E2" w:rsidP="00D752E2">
      <w:pPr>
        <w:pStyle w:val="RAN4H2"/>
        <w:rPr>
          <w:lang w:val="en-GB"/>
        </w:rPr>
      </w:pPr>
      <w:r>
        <w:rPr>
          <w:lang w:val="en-GB"/>
        </w:rPr>
        <w:t>Background</w:t>
      </w:r>
    </w:p>
    <w:p w14:paraId="6F82B463" w14:textId="77777777" w:rsidR="00D752E2" w:rsidRDefault="00D752E2" w:rsidP="00D752E2">
      <w:pPr>
        <w:pStyle w:val="RAN4H3"/>
        <w:rPr>
          <w:lang w:val="en-GB"/>
        </w:rPr>
      </w:pPr>
      <w:r>
        <w:rPr>
          <w:lang w:val="en-GB"/>
        </w:rPr>
        <w:t>Agreed WF for PSCell addition</w:t>
      </w:r>
    </w:p>
    <w:p w14:paraId="044F2F62" w14:textId="77777777" w:rsidR="00D752E2" w:rsidRDefault="00D752E2" w:rsidP="00D752E2">
      <w:pPr>
        <w:rPr>
          <w:lang w:val="en-GB"/>
        </w:rPr>
      </w:pPr>
      <w:r>
        <w:rPr>
          <w:lang w:val="en-GB"/>
        </w:rPr>
        <w:t>According to the agreed WF for PSCell addition [2]:</w:t>
      </w:r>
    </w:p>
    <w:p w14:paraId="6CD967FD" w14:textId="77777777" w:rsidR="00D752E2" w:rsidRPr="00416892" w:rsidRDefault="00D752E2" w:rsidP="00D752E2">
      <w:pPr>
        <w:numPr>
          <w:ilvl w:val="0"/>
          <w:numId w:val="22"/>
        </w:numPr>
        <w:rPr>
          <w:i/>
        </w:rPr>
      </w:pPr>
      <w:r w:rsidRPr="00416892">
        <w:rPr>
          <w:i/>
        </w:rPr>
        <w:t>T</w:t>
      </w:r>
      <w:r w:rsidRPr="00416892">
        <w:rPr>
          <w:i/>
          <w:lang w:val="en-GB"/>
        </w:rPr>
        <w:t>o enable addition of a PSCell:</w:t>
      </w:r>
    </w:p>
    <w:p w14:paraId="6B774740" w14:textId="77777777" w:rsidR="00D752E2" w:rsidRPr="00416892" w:rsidRDefault="00D752E2" w:rsidP="00D752E2">
      <w:pPr>
        <w:numPr>
          <w:ilvl w:val="1"/>
          <w:numId w:val="22"/>
        </w:numPr>
        <w:rPr>
          <w:i/>
        </w:rPr>
      </w:pPr>
      <w:r w:rsidRPr="00416892">
        <w:rPr>
          <w:i/>
        </w:rPr>
        <w:t>Network configures UE to measure inter-frequency measurements</w:t>
      </w:r>
    </w:p>
    <w:p w14:paraId="59F54348" w14:textId="77777777" w:rsidR="00D752E2" w:rsidRPr="00416892" w:rsidRDefault="00D752E2" w:rsidP="00D752E2">
      <w:pPr>
        <w:numPr>
          <w:ilvl w:val="1"/>
          <w:numId w:val="22"/>
        </w:numPr>
        <w:rPr>
          <w:i/>
        </w:rPr>
      </w:pPr>
      <w:r w:rsidRPr="00416892">
        <w:rPr>
          <w:i/>
        </w:rPr>
        <w:t>UE report inter-frequency measurements (candidate PSCell).</w:t>
      </w:r>
    </w:p>
    <w:p w14:paraId="312303B0" w14:textId="77777777" w:rsidR="00D752E2" w:rsidRPr="00416892" w:rsidRDefault="00D752E2" w:rsidP="00D752E2">
      <w:pPr>
        <w:numPr>
          <w:ilvl w:val="1"/>
          <w:numId w:val="22"/>
        </w:numPr>
        <w:rPr>
          <w:i/>
        </w:rPr>
      </w:pPr>
      <w:r w:rsidRPr="00416892">
        <w:rPr>
          <w:i/>
        </w:rPr>
        <w:t>Networks configure UE to add PSCell.</w:t>
      </w:r>
    </w:p>
    <w:p w14:paraId="27514B4F" w14:textId="77777777" w:rsidR="00D752E2" w:rsidRPr="00416892" w:rsidRDefault="00D752E2" w:rsidP="00D752E2">
      <w:pPr>
        <w:numPr>
          <w:ilvl w:val="1"/>
          <w:numId w:val="22"/>
        </w:numPr>
        <w:rPr>
          <w:i/>
        </w:rPr>
      </w:pPr>
      <w:r w:rsidRPr="00416892">
        <w:rPr>
          <w:i/>
          <w:lang w:val="fi-FI"/>
        </w:rPr>
        <w:t xml:space="preserve">UE </w:t>
      </w:r>
      <w:proofErr w:type="spellStart"/>
      <w:r w:rsidRPr="00416892">
        <w:rPr>
          <w:i/>
          <w:lang w:val="fi-FI"/>
        </w:rPr>
        <w:t>access</w:t>
      </w:r>
      <w:proofErr w:type="spellEnd"/>
      <w:r w:rsidRPr="00416892">
        <w:rPr>
          <w:i/>
          <w:lang w:val="fi-FI"/>
        </w:rPr>
        <w:t xml:space="preserve"> PSCell via PRACH</w:t>
      </w:r>
    </w:p>
    <w:p w14:paraId="74C2DD67" w14:textId="77777777" w:rsidR="00D752E2" w:rsidRDefault="00D752E2" w:rsidP="00D752E2">
      <w:pPr>
        <w:rPr>
          <w:lang w:val="en-GB"/>
        </w:rPr>
      </w:pPr>
    </w:p>
    <w:p w14:paraId="72B4B219" w14:textId="77777777" w:rsidR="00D752E2" w:rsidRDefault="00D752E2" w:rsidP="00D752E2">
      <w:pPr>
        <w:rPr>
          <w:lang w:val="en-GB"/>
        </w:rPr>
      </w:pPr>
      <w:r>
        <w:rPr>
          <w:lang w:val="en-GB"/>
        </w:rPr>
        <w:t>When a PSCell is added, three different scenarios were listed in the way forward, and out of these it was agreed to focus on known cell condition for scenario 1 in Rel-15.</w:t>
      </w:r>
    </w:p>
    <w:p w14:paraId="192168B0" w14:textId="77777777" w:rsidR="00D752E2" w:rsidRPr="00416892" w:rsidRDefault="00D752E2" w:rsidP="00D752E2">
      <w:pPr>
        <w:numPr>
          <w:ilvl w:val="0"/>
          <w:numId w:val="23"/>
        </w:numPr>
        <w:rPr>
          <w:i/>
        </w:rPr>
      </w:pPr>
      <w:r w:rsidRPr="00416892">
        <w:rPr>
          <w:i/>
        </w:rPr>
        <w:t>When a PSCell is added 3 different cases exist:</w:t>
      </w:r>
    </w:p>
    <w:p w14:paraId="31B9E84D" w14:textId="77777777" w:rsidR="00D752E2" w:rsidRPr="00416892" w:rsidRDefault="00D752E2" w:rsidP="00D752E2">
      <w:pPr>
        <w:numPr>
          <w:ilvl w:val="1"/>
          <w:numId w:val="23"/>
        </w:numPr>
        <w:rPr>
          <w:b/>
          <w:i/>
        </w:rPr>
      </w:pPr>
      <w:r w:rsidRPr="00416892">
        <w:rPr>
          <w:b/>
          <w:i/>
          <w:lang w:val="en-GB"/>
        </w:rPr>
        <w:t>target PSCell and Tx beam both remain the same</w:t>
      </w:r>
    </w:p>
    <w:p w14:paraId="4411ACF0" w14:textId="77777777" w:rsidR="00D752E2" w:rsidRPr="00416892" w:rsidRDefault="00D752E2" w:rsidP="00D752E2">
      <w:pPr>
        <w:numPr>
          <w:ilvl w:val="1"/>
          <w:numId w:val="23"/>
        </w:numPr>
        <w:rPr>
          <w:i/>
        </w:rPr>
      </w:pPr>
      <w:r w:rsidRPr="00416892">
        <w:rPr>
          <w:i/>
          <w:lang w:val="en-GB"/>
        </w:rPr>
        <w:t>target PSCell remains the same, but Tx beam has changed</w:t>
      </w:r>
    </w:p>
    <w:p w14:paraId="75243A4B" w14:textId="77777777" w:rsidR="00D752E2" w:rsidRPr="00416892" w:rsidRDefault="00D752E2" w:rsidP="00D752E2">
      <w:pPr>
        <w:numPr>
          <w:ilvl w:val="1"/>
          <w:numId w:val="23"/>
        </w:numPr>
        <w:rPr>
          <w:i/>
        </w:rPr>
      </w:pPr>
      <w:r w:rsidRPr="00416892">
        <w:rPr>
          <w:i/>
          <w:lang w:val="en-GB"/>
        </w:rPr>
        <w:t>target PSCell has changed</w:t>
      </w:r>
    </w:p>
    <w:p w14:paraId="09DD378D" w14:textId="77777777" w:rsidR="00D752E2" w:rsidRDefault="00D752E2" w:rsidP="00D752E2"/>
    <w:p w14:paraId="06A8C9B5" w14:textId="77777777" w:rsidR="00D752E2" w:rsidRDefault="00D752E2" w:rsidP="00D752E2">
      <w:r>
        <w:t>For scenario 1, condition for a known FR2 cell was agreed to be:</w:t>
      </w:r>
    </w:p>
    <w:p w14:paraId="144EE20C" w14:textId="77777777" w:rsidR="00D752E2" w:rsidRPr="00416892" w:rsidRDefault="00D752E2" w:rsidP="00D752E2">
      <w:pPr>
        <w:numPr>
          <w:ilvl w:val="0"/>
          <w:numId w:val="24"/>
        </w:numPr>
        <w:rPr>
          <w:i/>
        </w:rPr>
      </w:pPr>
      <w:r w:rsidRPr="00416892">
        <w:rPr>
          <w:i/>
        </w:rPr>
        <w:t>PSCell is known if:</w:t>
      </w:r>
    </w:p>
    <w:p w14:paraId="3142B02A" w14:textId="77777777" w:rsidR="00D752E2" w:rsidRPr="00416892" w:rsidRDefault="00D752E2" w:rsidP="00D752E2">
      <w:pPr>
        <w:numPr>
          <w:ilvl w:val="1"/>
          <w:numId w:val="24"/>
        </w:numPr>
        <w:rPr>
          <w:i/>
        </w:rPr>
      </w:pPr>
      <w:r w:rsidRPr="00416892">
        <w:rPr>
          <w:i/>
          <w:lang w:val="en-GB"/>
        </w:rPr>
        <w:lastRenderedPageBreak/>
        <w:t>If during the period equal to [X ms]:</w:t>
      </w:r>
    </w:p>
    <w:p w14:paraId="666D11DF" w14:textId="77777777" w:rsidR="00D752E2" w:rsidRPr="00416892" w:rsidRDefault="00D752E2" w:rsidP="00D752E2">
      <w:pPr>
        <w:numPr>
          <w:ilvl w:val="2"/>
          <w:numId w:val="24"/>
        </w:numPr>
        <w:rPr>
          <w:i/>
        </w:rPr>
      </w:pPr>
      <w:r w:rsidRPr="00416892">
        <w:rPr>
          <w:i/>
          <w:lang w:val="en-GB"/>
        </w:rPr>
        <w:t>the UE has sent a valid measurement report for the cell, and</w:t>
      </w:r>
    </w:p>
    <w:p w14:paraId="01539752" w14:textId="77777777" w:rsidR="00D752E2" w:rsidRPr="00416892" w:rsidRDefault="00D752E2" w:rsidP="00D752E2">
      <w:pPr>
        <w:numPr>
          <w:ilvl w:val="2"/>
          <w:numId w:val="24"/>
        </w:numPr>
        <w:rPr>
          <w:i/>
        </w:rPr>
      </w:pPr>
      <w:proofErr w:type="spellStart"/>
      <w:r w:rsidRPr="00416892">
        <w:rPr>
          <w:i/>
          <w:lang w:val="fi-FI"/>
        </w:rPr>
        <w:t>measurement</w:t>
      </w:r>
      <w:proofErr w:type="spellEnd"/>
      <w:r w:rsidRPr="00416892">
        <w:rPr>
          <w:i/>
          <w:lang w:val="fi-FI"/>
        </w:rPr>
        <w:t xml:space="preserve"> </w:t>
      </w:r>
      <w:proofErr w:type="spellStart"/>
      <w:r w:rsidRPr="00416892">
        <w:rPr>
          <w:i/>
          <w:lang w:val="fi-FI"/>
        </w:rPr>
        <w:t>report</w:t>
      </w:r>
      <w:proofErr w:type="spellEnd"/>
      <w:r w:rsidRPr="00416892">
        <w:rPr>
          <w:i/>
          <w:lang w:val="fi-FI"/>
        </w:rPr>
        <w:t xml:space="preserve"> </w:t>
      </w:r>
      <w:proofErr w:type="spellStart"/>
      <w:r w:rsidRPr="00416892">
        <w:rPr>
          <w:i/>
          <w:lang w:val="fi-FI"/>
        </w:rPr>
        <w:t>includes</w:t>
      </w:r>
      <w:proofErr w:type="spellEnd"/>
      <w:r w:rsidRPr="00416892">
        <w:rPr>
          <w:i/>
          <w:lang w:val="fi-FI"/>
        </w:rPr>
        <w:t xml:space="preserve"> Index</w:t>
      </w:r>
    </w:p>
    <w:p w14:paraId="7EE0C933" w14:textId="77777777" w:rsidR="00D752E2" w:rsidRPr="00416892" w:rsidRDefault="00D752E2" w:rsidP="00D752E2">
      <w:pPr>
        <w:numPr>
          <w:ilvl w:val="2"/>
          <w:numId w:val="24"/>
        </w:numPr>
        <w:rPr>
          <w:i/>
        </w:rPr>
      </w:pPr>
      <w:r w:rsidRPr="00416892">
        <w:rPr>
          <w:i/>
          <w:lang w:val="en-GB"/>
        </w:rPr>
        <w:t>the cell remains detectable according to the cell identification conditions</w:t>
      </w:r>
    </w:p>
    <w:p w14:paraId="1093B460" w14:textId="77777777" w:rsidR="00D752E2" w:rsidRPr="00416892" w:rsidRDefault="00D752E2" w:rsidP="00D752E2">
      <w:pPr>
        <w:numPr>
          <w:ilvl w:val="1"/>
          <w:numId w:val="24"/>
        </w:numPr>
        <w:rPr>
          <w:i/>
        </w:rPr>
      </w:pPr>
      <w:r w:rsidRPr="00416892">
        <w:rPr>
          <w:i/>
          <w:lang w:val="en-GB"/>
        </w:rPr>
        <w:t>The SSB measured during the period equal to [Y ms] also remains detectable during the PSCell addition delay according to the cell identification conditions specified in section 9.2 and 9.3.</w:t>
      </w:r>
    </w:p>
    <w:p w14:paraId="0D7B75DC" w14:textId="77777777" w:rsidR="00D752E2" w:rsidRPr="00416892" w:rsidRDefault="00D752E2" w:rsidP="00D752E2">
      <w:pPr>
        <w:numPr>
          <w:ilvl w:val="1"/>
          <w:numId w:val="24"/>
        </w:numPr>
        <w:rPr>
          <w:i/>
        </w:rPr>
      </w:pPr>
      <w:r w:rsidRPr="00416892">
        <w:rPr>
          <w:i/>
        </w:rPr>
        <w:t>An added PSCell can be regarded as unknown if the added PSCell is not known</w:t>
      </w:r>
    </w:p>
    <w:p w14:paraId="54652820" w14:textId="77777777" w:rsidR="00D752E2" w:rsidRPr="00324C69" w:rsidRDefault="00D752E2" w:rsidP="00D752E2">
      <w:pPr>
        <w:numPr>
          <w:ilvl w:val="1"/>
          <w:numId w:val="24"/>
        </w:numPr>
        <w:rPr>
          <w:i/>
        </w:rPr>
      </w:pPr>
      <w:r w:rsidRPr="00416892">
        <w:rPr>
          <w:i/>
          <w:lang w:val="en-GB"/>
        </w:rPr>
        <w:t>When a candidate PSCell is unknown cell, additional UE measurements are expected.</w:t>
      </w:r>
    </w:p>
    <w:p w14:paraId="47C13E19" w14:textId="77777777" w:rsidR="00D752E2" w:rsidRDefault="00D752E2" w:rsidP="00D752E2">
      <w:pPr>
        <w:pStyle w:val="RAN4H3"/>
        <w:rPr>
          <w:lang w:val="en-GB"/>
        </w:rPr>
      </w:pPr>
      <w:r>
        <w:rPr>
          <w:lang w:val="en-GB"/>
        </w:rPr>
        <w:t>HO to known FR1 target cell</w:t>
      </w:r>
    </w:p>
    <w:p w14:paraId="5B782331" w14:textId="77777777" w:rsidR="00D752E2" w:rsidRDefault="00D752E2" w:rsidP="00D752E2">
      <w:pPr>
        <w:rPr>
          <w:lang w:val="en-GB"/>
        </w:rPr>
      </w:pPr>
      <w:r>
        <w:rPr>
          <w:lang w:val="en-GB"/>
        </w:rPr>
        <w:t>For handover to FR1 cell, the requirement for known cell is as follows:</w:t>
      </w:r>
    </w:p>
    <w:tbl>
      <w:tblPr>
        <w:tblStyle w:val="TableGrid"/>
        <w:tblW w:w="0" w:type="auto"/>
        <w:tblInd w:w="720" w:type="dxa"/>
        <w:tblLook w:val="04A0" w:firstRow="1" w:lastRow="0" w:firstColumn="1" w:lastColumn="0" w:noHBand="0" w:noVBand="1"/>
      </w:tblPr>
      <w:tblGrid>
        <w:gridCol w:w="8897"/>
      </w:tblGrid>
      <w:tr w:rsidR="00D752E2" w14:paraId="11BAA3F1" w14:textId="77777777" w:rsidTr="005027D7">
        <w:tc>
          <w:tcPr>
            <w:tcW w:w="9617" w:type="dxa"/>
          </w:tcPr>
          <w:p w14:paraId="2AEAEE09" w14:textId="77777777" w:rsidR="00D752E2" w:rsidRDefault="00D752E2" w:rsidP="005027D7">
            <w:r w:rsidRPr="00DD7FFC">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r>
              <w:t>.</w:t>
            </w:r>
          </w:p>
        </w:tc>
      </w:tr>
    </w:tbl>
    <w:p w14:paraId="403011C4" w14:textId="77777777" w:rsidR="00D752E2" w:rsidRDefault="00D752E2" w:rsidP="00D752E2"/>
    <w:p w14:paraId="0F267568" w14:textId="77777777" w:rsidR="00D752E2" w:rsidRPr="00DD7FFC" w:rsidRDefault="00D752E2" w:rsidP="00D752E2">
      <w:proofErr w:type="spellStart"/>
      <w:r>
        <w:t>T_search</w:t>
      </w:r>
      <w:proofErr w:type="spellEnd"/>
      <w:r>
        <w:t xml:space="preserve"> is then defined separately for known and unknown FR1 target cells. </w:t>
      </w:r>
      <w:proofErr w:type="spellStart"/>
      <w:r>
        <w:t>T_search</w:t>
      </w:r>
      <w:proofErr w:type="spellEnd"/>
      <w:r>
        <w:t xml:space="preserve"> is zero when the cell is known and non-zero when the cell is unknown, as defined in sections </w:t>
      </w:r>
      <w:r w:rsidRPr="00DD7FFC">
        <w:t>6.1.1.2.2</w:t>
      </w:r>
      <w:r>
        <w:t xml:space="preserve"> and </w:t>
      </w:r>
      <w:r w:rsidRPr="00DD7FFC">
        <w:t>6.1.1.3.2</w:t>
      </w:r>
      <w:r>
        <w:t xml:space="preserve"> of TS 38.133. For FR2, </w:t>
      </w:r>
      <w:proofErr w:type="spellStart"/>
      <w:r>
        <w:t>T_search</w:t>
      </w:r>
      <w:proofErr w:type="spellEnd"/>
      <w:r>
        <w:t xml:space="preserve"> is currently always non-zero.</w:t>
      </w:r>
    </w:p>
    <w:p w14:paraId="5172CB28" w14:textId="77777777" w:rsidR="00D752E2" w:rsidRDefault="00D752E2" w:rsidP="00D752E2">
      <w:pPr>
        <w:pStyle w:val="RAN4H2"/>
        <w:rPr>
          <w:lang w:val="en-GB"/>
        </w:rPr>
      </w:pPr>
      <w:r>
        <w:rPr>
          <w:lang w:val="en-GB"/>
        </w:rPr>
        <w:t>HO to a known FR2 target cell</w:t>
      </w:r>
    </w:p>
    <w:p w14:paraId="3BE89619" w14:textId="78778699" w:rsidR="00D752E2" w:rsidRPr="00032CC1" w:rsidRDefault="00D752E2" w:rsidP="00D752E2">
      <w:pPr>
        <w:rPr>
          <w:lang w:val="en-GB"/>
        </w:rPr>
      </w:pPr>
      <w:r>
        <w:rPr>
          <w:lang w:val="en-GB"/>
        </w:rPr>
        <w:t xml:space="preserve">In our </w:t>
      </w:r>
      <w:r w:rsidRPr="00FA3635">
        <w:rPr>
          <w:lang w:val="en-GB"/>
        </w:rPr>
        <w:t>company paper [3] we discuss the PSCell addition. PSCell addition procedure is very similar to a handover procedure although PSCell addition configuration is a handover command. Additionally,</w:t>
      </w:r>
      <w:r>
        <w:rPr>
          <w:lang w:val="en-GB"/>
        </w:rPr>
        <w:t xml:space="preserve"> for the handover the UE is switching serving cell (PCell) while this is not the case for PSCell addition. However, in both procedures the UE </w:t>
      </w:r>
      <w:r w:rsidR="00FA3635">
        <w:rPr>
          <w:lang w:val="en-GB"/>
        </w:rPr>
        <w:t xml:space="preserve">is </w:t>
      </w:r>
      <w:r>
        <w:rPr>
          <w:lang w:val="en-GB"/>
        </w:rPr>
        <w:t>sending PRACH to the configured cell. I.e. handover procedure is then similar procedure wise to PSCell addition procedure. In Figure 1 below we have illustrated the handover procedure and what is our understanding of X and Y in the agreed known cell condition.</w:t>
      </w:r>
    </w:p>
    <w:p w14:paraId="64D30B61" w14:textId="77777777" w:rsidR="00D752E2" w:rsidRDefault="00D752E2" w:rsidP="00D752E2">
      <w:pPr>
        <w:keepNext/>
        <w:jc w:val="center"/>
      </w:pPr>
      <w:r>
        <w:object w:dxaOrig="7680" w:dyaOrig="5400" w14:anchorId="3D157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84.75pt;height:270pt" o:ole="">
            <v:imagedata r:id="rId8" o:title=""/>
          </v:shape>
          <o:OLEObject Type="Embed" ProgID="Mscgen.Chart" ShapeID="_x0000_i1036" DrawAspect="Content" ObjectID="_1618399508" r:id="rId9"/>
        </w:object>
      </w:r>
    </w:p>
    <w:p w14:paraId="0F688153" w14:textId="77777777" w:rsidR="00D752E2" w:rsidRPr="001E1634" w:rsidRDefault="00D752E2" w:rsidP="00D752E2">
      <w:pPr>
        <w:pStyle w:val="Caption"/>
        <w:rPr>
          <w:lang w:val="en-GB"/>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General illustration of handover to known FR2 cell.</w:t>
      </w:r>
    </w:p>
    <w:p w14:paraId="37361502" w14:textId="77777777" w:rsidR="00D752E2" w:rsidRDefault="00D752E2" w:rsidP="00D752E2">
      <w:pPr>
        <w:ind w:right="-22"/>
        <w:rPr>
          <w:rFonts w:eastAsia="Calibri" w:cs="Times New Roman"/>
          <w:szCs w:val="20"/>
        </w:rPr>
      </w:pPr>
      <w:r>
        <w:rPr>
          <w:rFonts w:eastAsia="Calibri" w:cs="Times New Roman"/>
          <w:szCs w:val="20"/>
        </w:rPr>
        <w:lastRenderedPageBreak/>
        <w:t xml:space="preserve">The principle behind the known FR2 target cell definition is that the cell has been reported by the UE to the network within a given </w:t>
      </w:r>
      <w:proofErr w:type="gramStart"/>
      <w:r>
        <w:rPr>
          <w:rFonts w:eastAsia="Calibri" w:cs="Times New Roman"/>
          <w:szCs w:val="20"/>
        </w:rPr>
        <w:t>time period</w:t>
      </w:r>
      <w:proofErr w:type="gramEnd"/>
      <w:r>
        <w:rPr>
          <w:rFonts w:eastAsia="Calibri" w:cs="Times New Roman"/>
          <w:szCs w:val="20"/>
        </w:rPr>
        <w:t xml:space="preserve">. In this case the Cell A with Index A is reported to the network. Once the UE reports Cell A with Index A to the network, time X starts. </w:t>
      </w:r>
    </w:p>
    <w:p w14:paraId="30D0CEFC" w14:textId="77777777" w:rsidR="00D752E2" w:rsidRDefault="00D752E2" w:rsidP="00D752E2">
      <w:pPr>
        <w:ind w:right="-22"/>
        <w:rPr>
          <w:rFonts w:eastAsia="Calibri" w:cs="Times New Roman"/>
          <w:szCs w:val="20"/>
        </w:rPr>
      </w:pPr>
      <w:r>
        <w:rPr>
          <w:rFonts w:eastAsia="Calibri" w:cs="Times New Roman"/>
          <w:szCs w:val="20"/>
        </w:rPr>
        <w:t xml:space="preserve">The network may then send handover command to Cell A for the UE. When the handover command is received by the UE, time X stops, and time Y starts. If at this point, the Cell A is still detectable, the condition for known FR2 target cell is still fulfilled. </w:t>
      </w:r>
    </w:p>
    <w:p w14:paraId="55A16A8B" w14:textId="77777777" w:rsidR="00D752E2" w:rsidRDefault="00D752E2" w:rsidP="00D752E2">
      <w:pPr>
        <w:ind w:right="-22"/>
        <w:rPr>
          <w:rFonts w:eastAsia="Calibri" w:cs="Times New Roman"/>
          <w:szCs w:val="20"/>
        </w:rPr>
      </w:pPr>
      <w:r>
        <w:rPr>
          <w:rFonts w:eastAsia="Calibri" w:cs="Times New Roman"/>
          <w:szCs w:val="20"/>
        </w:rPr>
        <w:t>If during time Y, the reported SSB, Index A of Cell A, is still detectable (according to sections 9.2 and 9.3) the condition for known FR2 target cell remains fulfilled.</w:t>
      </w:r>
    </w:p>
    <w:p w14:paraId="2C813DE6" w14:textId="45911D23" w:rsidR="00D752E2" w:rsidRDefault="00D752E2" w:rsidP="00D752E2">
      <w:pPr>
        <w:ind w:right="-22"/>
        <w:rPr>
          <w:rFonts w:eastAsia="Calibri" w:cs="Times New Roman"/>
          <w:szCs w:val="20"/>
        </w:rPr>
      </w:pPr>
      <w:r>
        <w:rPr>
          <w:rFonts w:eastAsia="Calibri" w:cs="Times New Roman"/>
          <w:szCs w:val="20"/>
        </w:rPr>
        <w:t>In this case, the UE can measure the DL reference signal of the target cell based on the reported SSB with Index A. To enable the UE to validate whether the reported SSB with Index A is still detectable, the UE would need one occurrence of the SSB.</w:t>
      </w:r>
      <w:r w:rsidRPr="00886BCA">
        <w:rPr>
          <w:rFonts w:eastAsia="Calibri" w:cs="Times New Roman"/>
          <w:szCs w:val="20"/>
        </w:rPr>
        <w:t xml:space="preserve"> </w:t>
      </w:r>
      <w:r>
        <w:rPr>
          <w:rFonts w:eastAsia="Calibri" w:cs="Times New Roman"/>
          <w:szCs w:val="20"/>
        </w:rPr>
        <w:t xml:space="preserve">So, compared to the agreed WF, </w:t>
      </w:r>
      <w:r w:rsidR="00FA3635">
        <w:rPr>
          <w:rFonts w:eastAsia="Calibri" w:cs="Times New Roman"/>
          <w:szCs w:val="20"/>
        </w:rPr>
        <w:t xml:space="preserve">our understanding is that </w:t>
      </w:r>
      <w:r>
        <w:rPr>
          <w:rFonts w:eastAsia="Calibri" w:cs="Times New Roman"/>
          <w:szCs w:val="20"/>
        </w:rPr>
        <w:t>Cell A should in fact remain detectable during [X+Y] ms i.e. the difference between the agreed text and Figure 1 is that in Figure 1 [X+Y] equals to [Y] in the WF.</w:t>
      </w:r>
    </w:p>
    <w:p w14:paraId="75306D81" w14:textId="77777777" w:rsidR="00D752E2" w:rsidRPr="00BC797B" w:rsidRDefault="00D752E2" w:rsidP="00D752E2">
      <w:pPr>
        <w:pStyle w:val="RAN4Observation"/>
      </w:pPr>
      <w:r w:rsidRPr="00BC797B">
        <w:t>To enable the UE to validate whether the reported SSB with Index A is still detectable</w:t>
      </w:r>
      <w:r>
        <w:t>,</w:t>
      </w:r>
      <w:r w:rsidRPr="00BC797B">
        <w:t xml:space="preserve"> the UE would need </w:t>
      </w:r>
      <w:r>
        <w:t>one occurrence of</w:t>
      </w:r>
      <w:r w:rsidRPr="00BC797B">
        <w:t xml:space="preserve"> the SSB.</w:t>
      </w:r>
    </w:p>
    <w:p w14:paraId="5DE5DC9B" w14:textId="77777777" w:rsidR="00D752E2" w:rsidRPr="002879C1" w:rsidRDefault="00D752E2" w:rsidP="00D752E2">
      <w:pPr>
        <w:pStyle w:val="RAN4proposal"/>
      </w:pPr>
      <w:bookmarkStart w:id="3" w:name="_Hlk7361700"/>
      <w:r>
        <w:t>For FR2 the conditions for a known target cell is that it remains detectable during [X+Y] ms</w:t>
      </w:r>
      <w:r w:rsidRPr="0008612A">
        <w:t>.</w:t>
      </w:r>
      <w:bookmarkEnd w:id="3"/>
    </w:p>
    <w:p w14:paraId="564D1221" w14:textId="77777777" w:rsidR="00D752E2" w:rsidRDefault="00D752E2" w:rsidP="00D752E2">
      <w:pPr>
        <w:ind w:right="-22"/>
        <w:rPr>
          <w:rFonts w:eastAsia="Calibri" w:cs="Times New Roman"/>
          <w:szCs w:val="20"/>
        </w:rPr>
      </w:pPr>
      <w:r>
        <w:rPr>
          <w:rFonts w:eastAsia="Calibri" w:cs="Times New Roman"/>
          <w:szCs w:val="20"/>
        </w:rPr>
        <w:t xml:space="preserve">Then additionally it would be necessary to add the conditions for reported SSB (Index). The condition for the reported SSB could be similar as for FR1. If focusing on case #1 this would mean that </w:t>
      </w:r>
      <w:r w:rsidRPr="00C57D28">
        <w:rPr>
          <w:rFonts w:eastAsia="Calibri" w:cs="Times New Roman"/>
          <w:szCs w:val="20"/>
          <w:lang w:val="en-GB"/>
        </w:rPr>
        <w:t xml:space="preserve">the SSBs </w:t>
      </w:r>
      <w:r>
        <w:rPr>
          <w:rFonts w:eastAsia="Calibri" w:cs="Times New Roman"/>
          <w:szCs w:val="20"/>
          <w:lang w:val="en-GB"/>
        </w:rPr>
        <w:t>reported by the UE,</w:t>
      </w:r>
      <w:r w:rsidRPr="00C57D28">
        <w:rPr>
          <w:rFonts w:eastAsia="Calibri" w:cs="Times New Roman"/>
          <w:szCs w:val="20"/>
          <w:lang w:val="en-GB"/>
        </w:rPr>
        <w:t xml:space="preserve"> from </w:t>
      </w:r>
      <w:r>
        <w:rPr>
          <w:rFonts w:eastAsia="Calibri" w:cs="Times New Roman"/>
          <w:szCs w:val="20"/>
          <w:lang w:val="en-GB"/>
        </w:rPr>
        <w:t>NR target cell</w:t>
      </w:r>
      <w:r w:rsidRPr="00C57D28">
        <w:rPr>
          <w:rFonts w:eastAsia="Calibri" w:cs="Times New Roman"/>
          <w:szCs w:val="20"/>
          <w:lang w:val="en-GB"/>
        </w:rPr>
        <w:t xml:space="preserve"> remains detectable during the </w:t>
      </w:r>
      <w:r>
        <w:rPr>
          <w:rFonts w:eastAsia="Calibri" w:cs="Times New Roman"/>
          <w:szCs w:val="20"/>
          <w:lang w:val="en-GB"/>
        </w:rPr>
        <w:t>handover delay</w:t>
      </w:r>
      <w:r w:rsidRPr="00C57D28">
        <w:rPr>
          <w:rFonts w:eastAsia="Calibri" w:cs="Times New Roman"/>
          <w:szCs w:val="20"/>
          <w:lang w:val="en-GB"/>
        </w:rPr>
        <w:t xml:space="preserve"> according to the cell identification conditions specified in section 9.3</w:t>
      </w:r>
      <w:r>
        <w:rPr>
          <w:rFonts w:eastAsia="Calibri" w:cs="Times New Roman"/>
          <w:szCs w:val="20"/>
          <w:lang w:val="en-GB"/>
        </w:rPr>
        <w:t>.</w:t>
      </w:r>
    </w:p>
    <w:p w14:paraId="65BD6470" w14:textId="77777777" w:rsidR="00D752E2" w:rsidRDefault="00D752E2" w:rsidP="00D752E2">
      <w:pPr>
        <w:ind w:right="-22"/>
        <w:rPr>
          <w:rFonts w:eastAsia="Calibri" w:cs="Times New Roman"/>
          <w:szCs w:val="20"/>
        </w:rPr>
      </w:pPr>
      <w:r>
        <w:rPr>
          <w:rFonts w:eastAsia="Calibri" w:cs="Times New Roman"/>
          <w:szCs w:val="20"/>
        </w:rPr>
        <w:t>In Figure 1 this means that the SSB should remain detectable during [Y]ms.</w:t>
      </w:r>
    </w:p>
    <w:p w14:paraId="2DC2FE78" w14:textId="77777777" w:rsidR="00D752E2" w:rsidRDefault="00D752E2" w:rsidP="00D752E2">
      <w:pPr>
        <w:pStyle w:val="RAN4proposal"/>
      </w:pPr>
      <w:r>
        <w:t>For FR2 the conditions for the known target cell is that the SSB remains detectable during [Y] ms</w:t>
      </w:r>
      <w:r w:rsidRPr="0008612A">
        <w:t>.</w:t>
      </w:r>
    </w:p>
    <w:p w14:paraId="2CA91D02" w14:textId="77777777" w:rsidR="00D752E2" w:rsidRDefault="00D752E2" w:rsidP="00D752E2">
      <w:pPr>
        <w:ind w:right="-22"/>
        <w:rPr>
          <w:rFonts w:eastAsia="Calibri" w:cs="Times New Roman"/>
          <w:szCs w:val="20"/>
        </w:rPr>
      </w:pPr>
      <w:r>
        <w:rPr>
          <w:rFonts w:eastAsia="Calibri" w:cs="Times New Roman"/>
          <w:szCs w:val="20"/>
        </w:rPr>
        <w:t>As for the actual values of X and Y it seems that the conditions for when the target cell can be considered as known, X, could be the same as used for FR1 – i.e. using 5 seconds.</w:t>
      </w:r>
    </w:p>
    <w:p w14:paraId="6ECAA047" w14:textId="6B17A11A" w:rsidR="00D752E2" w:rsidRDefault="00D752E2" w:rsidP="00D752E2">
      <w:pPr>
        <w:pStyle w:val="RAN4proposal"/>
      </w:pPr>
      <w:r>
        <w:rPr>
          <w:rFonts w:eastAsia="Calibri" w:cs="Times New Roman"/>
          <w:szCs w:val="20"/>
        </w:rPr>
        <w:t>The conditions for known target cell, X, when in an FR2 band is a 5 seconds period</w:t>
      </w:r>
      <w:r w:rsidRPr="0008612A">
        <w:t>.</w:t>
      </w:r>
    </w:p>
    <w:p w14:paraId="6E73B9BA" w14:textId="77777777" w:rsidR="00D752E2" w:rsidRDefault="00D752E2" w:rsidP="00D752E2">
      <w:pPr>
        <w:ind w:right="-22"/>
        <w:rPr>
          <w:rFonts w:eastAsia="Calibri" w:cs="Times New Roman"/>
          <w:szCs w:val="20"/>
        </w:rPr>
      </w:pPr>
      <w:r>
        <w:rPr>
          <w:rFonts w:eastAsia="Calibri" w:cs="Times New Roman"/>
          <w:szCs w:val="20"/>
        </w:rPr>
        <w:t xml:space="preserve">The conditions for when the SSB would be detectable, it would be enough if this period </w:t>
      </w:r>
      <w:proofErr w:type="gramStart"/>
      <w:r>
        <w:rPr>
          <w:rFonts w:eastAsia="Calibri" w:cs="Times New Roman"/>
          <w:szCs w:val="20"/>
        </w:rPr>
        <w:t>covers</w:t>
      </w:r>
      <w:proofErr w:type="gramEnd"/>
      <w:r>
        <w:rPr>
          <w:rFonts w:eastAsia="Calibri" w:cs="Times New Roman"/>
          <w:szCs w:val="20"/>
        </w:rPr>
        <w:t xml:space="preserve"> the actual handover delay. I.e. the time defined for handover to FR2 cell in TS 38.133. </w:t>
      </w:r>
    </w:p>
    <w:tbl>
      <w:tblPr>
        <w:tblStyle w:val="TableGrid"/>
        <w:tblW w:w="0" w:type="auto"/>
        <w:tblInd w:w="720" w:type="dxa"/>
        <w:tblLook w:val="04A0" w:firstRow="1" w:lastRow="0" w:firstColumn="1" w:lastColumn="0" w:noHBand="0" w:noVBand="1"/>
      </w:tblPr>
      <w:tblGrid>
        <w:gridCol w:w="8897"/>
      </w:tblGrid>
      <w:tr w:rsidR="00D752E2" w14:paraId="1E5C4F7F" w14:textId="77777777" w:rsidTr="005027D7">
        <w:tc>
          <w:tcPr>
            <w:tcW w:w="9617" w:type="dxa"/>
          </w:tcPr>
          <w:p w14:paraId="68A9112D" w14:textId="77777777" w:rsidR="00D752E2" w:rsidRPr="002879C1" w:rsidRDefault="00D752E2" w:rsidP="005027D7">
            <w:pPr>
              <w:spacing w:after="180"/>
              <w:rPr>
                <w:rFonts w:eastAsia="SimSun" w:cs="v4.2.0"/>
                <w:szCs w:val="20"/>
                <w:lang w:val="en-GB"/>
              </w:rPr>
            </w:pPr>
            <w:r w:rsidRPr="002879C1">
              <w:rPr>
                <w:rFonts w:eastAsia="SimSun" w:cs="v4.2.0"/>
                <w:szCs w:val="20"/>
                <w:lang w:val="en-GB"/>
              </w:rPr>
              <w:t xml:space="preserve">When the UE receives </w:t>
            </w:r>
            <w:proofErr w:type="gramStart"/>
            <w:r w:rsidRPr="002879C1">
              <w:rPr>
                <w:rFonts w:eastAsia="SimSun" w:cs="v4.2.0"/>
                <w:szCs w:val="20"/>
                <w:lang w:val="en-GB"/>
              </w:rPr>
              <w:t>a</w:t>
            </w:r>
            <w:proofErr w:type="gramEnd"/>
            <w:r w:rsidRPr="002879C1">
              <w:rPr>
                <w:rFonts w:eastAsia="SimSun" w:cs="v4.2.0"/>
                <w:szCs w:val="20"/>
                <w:lang w:val="en-GB"/>
              </w:rPr>
              <w:t xml:space="preserve"> RRC message implying handover the UE shall be ready to </w:t>
            </w:r>
            <w:r w:rsidRPr="002879C1">
              <w:rPr>
                <w:rFonts w:eastAsia="SimSun" w:cs="v4.2.0"/>
                <w:snapToGrid w:val="0"/>
                <w:szCs w:val="20"/>
                <w:lang w:val="en-GB"/>
              </w:rPr>
              <w:t>start the transmission of the new uplink PRACH channel</w:t>
            </w:r>
            <w:r w:rsidRPr="002879C1">
              <w:rPr>
                <w:rFonts w:eastAsia="SimSun" w:cs="v4.2.0"/>
                <w:szCs w:val="20"/>
                <w:lang w:val="en-GB"/>
              </w:rPr>
              <w:t xml:space="preserve"> within </w:t>
            </w:r>
            <w:proofErr w:type="spellStart"/>
            <w:r w:rsidRPr="002879C1">
              <w:rPr>
                <w:rFonts w:eastAsia="SimSun" w:cs="v4.2.0"/>
                <w:szCs w:val="20"/>
                <w:lang w:val="en-GB"/>
              </w:rPr>
              <w:t>D</w:t>
            </w:r>
            <w:r w:rsidRPr="002879C1">
              <w:rPr>
                <w:rFonts w:eastAsia="SimSun" w:cs="v4.2.0"/>
                <w:szCs w:val="20"/>
                <w:vertAlign w:val="subscript"/>
                <w:lang w:val="en-GB"/>
              </w:rPr>
              <w:t>handover</w:t>
            </w:r>
            <w:proofErr w:type="spellEnd"/>
            <w:r w:rsidRPr="002879C1">
              <w:rPr>
                <w:rFonts w:eastAsia="SimSun" w:cs="v4.2.0"/>
                <w:szCs w:val="20"/>
                <w:lang w:val="en-GB"/>
              </w:rPr>
              <w:t xml:space="preserve"> seconds from the end of the last TTI containing the RRC command.</w:t>
            </w:r>
          </w:p>
          <w:p w14:paraId="3904C7E3" w14:textId="77777777" w:rsidR="00D752E2" w:rsidRPr="002879C1" w:rsidRDefault="00D752E2" w:rsidP="005027D7">
            <w:pPr>
              <w:spacing w:after="180"/>
              <w:rPr>
                <w:rFonts w:eastAsia="SimSun" w:cs="v4.2.0"/>
                <w:szCs w:val="20"/>
                <w:lang w:val="en-GB"/>
              </w:rPr>
            </w:pPr>
            <w:r w:rsidRPr="002879C1">
              <w:rPr>
                <w:rFonts w:eastAsia="SimSun" w:cs="v4.2.0"/>
                <w:szCs w:val="20"/>
                <w:lang w:val="en-GB"/>
              </w:rPr>
              <w:t>Where:</w:t>
            </w:r>
          </w:p>
          <w:p w14:paraId="07750F75" w14:textId="77777777" w:rsidR="00D752E2" w:rsidRPr="002879C1" w:rsidRDefault="00D752E2" w:rsidP="005027D7">
            <w:pPr>
              <w:spacing w:after="180"/>
              <w:rPr>
                <w:rFonts w:eastAsia="SimSun" w:cs="v4.2.0"/>
                <w:szCs w:val="20"/>
                <w:lang w:val="en-GB"/>
              </w:rPr>
            </w:pPr>
            <w:proofErr w:type="spellStart"/>
            <w:r w:rsidRPr="002879C1">
              <w:rPr>
                <w:rFonts w:eastAsia="SimSun" w:cs="v4.2.0"/>
                <w:szCs w:val="20"/>
                <w:lang w:val="en-GB"/>
              </w:rPr>
              <w:t>D</w:t>
            </w:r>
            <w:r w:rsidRPr="002879C1">
              <w:rPr>
                <w:rFonts w:eastAsia="SimSun" w:cs="v4.2.0"/>
                <w:szCs w:val="20"/>
                <w:vertAlign w:val="subscript"/>
                <w:lang w:val="en-GB"/>
              </w:rPr>
              <w:t>handover</w:t>
            </w:r>
            <w:proofErr w:type="spellEnd"/>
            <w:r w:rsidRPr="002879C1">
              <w:rPr>
                <w:rFonts w:eastAsia="SimSun" w:cs="v4.2.0"/>
                <w:szCs w:val="20"/>
                <w:lang w:val="en-GB"/>
              </w:rPr>
              <w:t xml:space="preserve"> equals the </w:t>
            </w:r>
            <w:r w:rsidRPr="002879C1">
              <w:rPr>
                <w:rFonts w:eastAsia="MS Mincho" w:cs="v4.2.0"/>
                <w:szCs w:val="20"/>
                <w:lang w:val="en-GB"/>
              </w:rPr>
              <w:t>maximum</w:t>
            </w:r>
            <w:r w:rsidRPr="002879C1">
              <w:rPr>
                <w:rFonts w:eastAsia="SimSun" w:cs="v4.2.0"/>
                <w:szCs w:val="20"/>
                <w:lang w:val="en-GB"/>
              </w:rPr>
              <w:t xml:space="preserve"> RRC procedure delay to be defined in clause </w:t>
            </w:r>
            <w:r w:rsidRPr="002879C1">
              <w:rPr>
                <w:rFonts w:eastAsia="SimSun" w:cs="v4.2.0"/>
                <w:szCs w:val="20"/>
                <w:lang w:val="en-GB" w:eastAsia="zh-CN"/>
              </w:rPr>
              <w:t>12</w:t>
            </w:r>
            <w:r w:rsidRPr="002879C1">
              <w:rPr>
                <w:rFonts w:eastAsia="SimSun" w:cs="v4.2.0"/>
                <w:szCs w:val="20"/>
                <w:lang w:val="en-GB"/>
              </w:rPr>
              <w:t xml:space="preserve"> in </w:t>
            </w:r>
            <w:r w:rsidRPr="002879C1">
              <w:rPr>
                <w:rFonts w:eastAsia="SimSun" w:cs="Times New Roman"/>
                <w:szCs w:val="20"/>
                <w:lang w:val="en-GB"/>
              </w:rPr>
              <w:t>TS 38.331 [2]</w:t>
            </w:r>
            <w:r w:rsidRPr="002879C1">
              <w:rPr>
                <w:rFonts w:eastAsia="SimSun" w:cs="v4.2.0"/>
                <w:szCs w:val="20"/>
                <w:lang w:val="en-GB"/>
              </w:rPr>
              <w:t xml:space="preserve"> plus the interruption time stated in clause 6.1.1.4.2.</w:t>
            </w:r>
          </w:p>
          <w:p w14:paraId="30DEB3A0" w14:textId="77777777" w:rsidR="00D752E2" w:rsidRDefault="00D752E2" w:rsidP="005027D7">
            <w:pPr>
              <w:ind w:right="-22"/>
              <w:rPr>
                <w:rFonts w:ascii="Arial" w:eastAsia="SimSun" w:hAnsi="Arial" w:cs="Times New Roman"/>
                <w:sz w:val="22"/>
                <w:szCs w:val="20"/>
                <w:lang w:val="en-GB"/>
              </w:rPr>
            </w:pPr>
            <w:r>
              <w:rPr>
                <w:rFonts w:ascii="Arial" w:eastAsia="SimSun" w:hAnsi="Arial" w:cs="Times New Roman"/>
                <w:sz w:val="22"/>
                <w:szCs w:val="20"/>
                <w:lang w:val="en-GB"/>
              </w:rPr>
              <w:t>--</w:t>
            </w:r>
          </w:p>
          <w:p w14:paraId="6A9DDCD6" w14:textId="77777777" w:rsidR="00D752E2" w:rsidRDefault="00D752E2" w:rsidP="005027D7">
            <w:pPr>
              <w:ind w:left="720" w:right="-22"/>
              <w:rPr>
                <w:rFonts w:eastAsia="SimSun" w:cs="Times New Roman"/>
                <w:szCs w:val="20"/>
                <w:lang w:val="en-GB"/>
              </w:rPr>
            </w:pPr>
          </w:p>
          <w:p w14:paraId="452DE42B" w14:textId="77777777" w:rsidR="00D752E2" w:rsidRDefault="00D752E2" w:rsidP="005027D7">
            <w:pPr>
              <w:ind w:left="720" w:right="-22"/>
              <w:rPr>
                <w:rFonts w:eastAsia="SimSun" w:cs="Times New Roman"/>
                <w:szCs w:val="20"/>
                <w:lang w:val="en-GB"/>
              </w:rPr>
            </w:pPr>
            <w:proofErr w:type="spellStart"/>
            <w:r w:rsidRPr="002879C1">
              <w:rPr>
                <w:rFonts w:eastAsia="SimSun" w:cs="v4.2.0"/>
                <w:szCs w:val="20"/>
                <w:lang w:val="en-GB"/>
              </w:rPr>
              <w:t>T</w:t>
            </w:r>
            <w:r w:rsidRPr="002879C1">
              <w:rPr>
                <w:rFonts w:eastAsia="SimSun" w:cs="v4.2.0"/>
                <w:szCs w:val="20"/>
                <w:vertAlign w:val="subscript"/>
                <w:lang w:val="en-GB"/>
              </w:rPr>
              <w:t>interrupt</w:t>
            </w:r>
            <w:proofErr w:type="spellEnd"/>
            <w:r w:rsidRPr="002879C1">
              <w:rPr>
                <w:rFonts w:eastAsia="SimSun" w:cs="Times New Roman"/>
                <w:szCs w:val="20"/>
                <w:lang w:val="en-GB"/>
              </w:rPr>
              <w:t xml:space="preserve"> = </w:t>
            </w:r>
            <w:proofErr w:type="spellStart"/>
            <w:r w:rsidRPr="002879C1">
              <w:rPr>
                <w:rFonts w:eastAsia="SimSun" w:cs="Times New Roman"/>
                <w:szCs w:val="20"/>
                <w:lang w:val="en-GB"/>
              </w:rPr>
              <w:t>T</w:t>
            </w:r>
            <w:r w:rsidRPr="002879C1">
              <w:rPr>
                <w:rFonts w:eastAsia="SimSun" w:cs="Times New Roman"/>
                <w:szCs w:val="20"/>
                <w:vertAlign w:val="subscript"/>
                <w:lang w:val="en-GB"/>
              </w:rPr>
              <w:t>search</w:t>
            </w:r>
            <w:proofErr w:type="spellEnd"/>
            <w:r w:rsidRPr="002879C1">
              <w:rPr>
                <w:rFonts w:eastAsia="SimSun" w:cs="Times New Roman"/>
                <w:szCs w:val="20"/>
                <w:lang w:val="en-GB"/>
              </w:rPr>
              <w:t xml:space="preserve"> + T</w:t>
            </w:r>
            <w:r w:rsidRPr="002879C1">
              <w:rPr>
                <w:rFonts w:eastAsia="SimSun" w:cs="Times New Roman"/>
                <w:szCs w:val="20"/>
                <w:vertAlign w:val="subscript"/>
                <w:lang w:val="en-GB"/>
              </w:rPr>
              <w:t>IU</w:t>
            </w:r>
            <w:r w:rsidRPr="002879C1">
              <w:rPr>
                <w:rFonts w:eastAsia="SimSun" w:cs="Times New Roman"/>
                <w:szCs w:val="20"/>
                <w:lang w:val="en-GB"/>
              </w:rPr>
              <w:t xml:space="preserve"> + </w:t>
            </w:r>
            <w:proofErr w:type="spellStart"/>
            <w:r w:rsidRPr="002879C1">
              <w:rPr>
                <w:rFonts w:eastAsia="SimSun" w:cs="Times New Roman"/>
                <w:szCs w:val="20"/>
                <w:lang w:val="en-GB" w:eastAsia="zh-CN"/>
              </w:rPr>
              <w:t>T</w:t>
            </w:r>
            <w:r w:rsidRPr="002879C1">
              <w:rPr>
                <w:rFonts w:eastAsia="SimSun" w:cs="Times New Roman"/>
                <w:szCs w:val="20"/>
                <w:vertAlign w:val="subscript"/>
                <w:lang w:val="en-GB" w:eastAsia="zh-CN"/>
              </w:rPr>
              <w:t>processing</w:t>
            </w:r>
            <w:proofErr w:type="spellEnd"/>
            <w:r w:rsidRPr="002879C1">
              <w:rPr>
                <w:rFonts w:eastAsia="SimSun" w:cs="Times New Roman"/>
                <w:szCs w:val="20"/>
                <w:lang w:val="en-GB" w:eastAsia="zh-CN"/>
              </w:rPr>
              <w:t>+ T</w:t>
            </w:r>
            <w:r w:rsidRPr="002879C1">
              <w:rPr>
                <w:rFonts w:eastAsia="SimSun" w:cs="Times New Roman"/>
                <w:szCs w:val="20"/>
                <w:vertAlign w:val="subscript"/>
                <w:lang w:val="en-GB" w:eastAsia="zh-CN"/>
              </w:rPr>
              <w:t>∆</w:t>
            </w:r>
            <w:r w:rsidRPr="002879C1">
              <w:rPr>
                <w:rFonts w:eastAsia="SimSun" w:cs="Times New Roman"/>
                <w:szCs w:val="20"/>
                <w:lang w:val="en-GB" w:eastAsia="zh-CN"/>
              </w:rPr>
              <w:t xml:space="preserve"> </w:t>
            </w:r>
            <w:r w:rsidRPr="002879C1">
              <w:rPr>
                <w:rFonts w:eastAsia="SimSun" w:cs="Times New Roman"/>
                <w:szCs w:val="20"/>
                <w:lang w:val="en-GB"/>
              </w:rPr>
              <w:t>ms</w:t>
            </w:r>
          </w:p>
          <w:p w14:paraId="0C972B14" w14:textId="77777777" w:rsidR="00D752E2" w:rsidRPr="002879C1" w:rsidRDefault="00D752E2" w:rsidP="005027D7">
            <w:pPr>
              <w:ind w:right="-22"/>
              <w:rPr>
                <w:rFonts w:eastAsia="Calibri" w:cs="Times New Roman"/>
                <w:szCs w:val="20"/>
              </w:rPr>
            </w:pPr>
            <w:r>
              <w:rPr>
                <w:rFonts w:eastAsia="Calibri" w:cs="Times New Roman"/>
                <w:szCs w:val="20"/>
              </w:rPr>
              <w:t>--</w:t>
            </w:r>
          </w:p>
        </w:tc>
      </w:tr>
    </w:tbl>
    <w:p w14:paraId="56627B93" w14:textId="77777777" w:rsidR="00D752E2" w:rsidRDefault="00D752E2" w:rsidP="00D752E2">
      <w:pPr>
        <w:ind w:right="-22"/>
        <w:rPr>
          <w:rFonts w:eastAsia="Calibri" w:cs="Times New Roman"/>
          <w:szCs w:val="20"/>
        </w:rPr>
      </w:pPr>
    </w:p>
    <w:p w14:paraId="1B2B9856" w14:textId="77777777" w:rsidR="00D752E2" w:rsidRDefault="00D752E2" w:rsidP="00D752E2">
      <w:pPr>
        <w:ind w:right="-22"/>
        <w:rPr>
          <w:rFonts w:eastAsia="Calibri" w:cs="Times New Roman"/>
          <w:szCs w:val="20"/>
        </w:rPr>
      </w:pPr>
      <w:r>
        <w:rPr>
          <w:rFonts w:eastAsia="Calibri" w:cs="Times New Roman"/>
          <w:szCs w:val="20"/>
        </w:rPr>
        <w:t>The value Y would be:</w:t>
      </w:r>
    </w:p>
    <w:p w14:paraId="727FDE3A" w14:textId="77777777" w:rsidR="00D752E2" w:rsidRDefault="00D752E2" w:rsidP="00D752E2">
      <w:pPr>
        <w:pStyle w:val="RAN4proposal"/>
      </w:pPr>
      <w:r>
        <w:rPr>
          <w:rFonts w:eastAsia="Calibri" w:cs="Times New Roman"/>
          <w:szCs w:val="20"/>
        </w:rPr>
        <w:t xml:space="preserve"> The conditions for known SSB, Y, considering handover to target cell in an FR2 band is equal to the handover delay </w:t>
      </w:r>
      <w:proofErr w:type="spellStart"/>
      <w:r>
        <w:rPr>
          <w:rFonts w:eastAsia="Calibri" w:cs="Times New Roman"/>
          <w:szCs w:val="20"/>
        </w:rPr>
        <w:t>D_handover</w:t>
      </w:r>
      <w:proofErr w:type="spellEnd"/>
      <w:r w:rsidRPr="0008612A">
        <w:t>.</w:t>
      </w:r>
    </w:p>
    <w:p w14:paraId="0089DF30" w14:textId="048C570A" w:rsidR="00D752E2" w:rsidRDefault="00D752E2" w:rsidP="00D752E2">
      <w:r>
        <w:rPr>
          <w:rFonts w:eastAsia="Calibri" w:cs="Times New Roman"/>
          <w:iCs/>
          <w:szCs w:val="20"/>
        </w:rPr>
        <w:t xml:space="preserve">To complete the </w:t>
      </w:r>
      <w:proofErr w:type="spellStart"/>
      <w:r>
        <w:rPr>
          <w:rFonts w:eastAsia="Calibri" w:cs="Times New Roman"/>
          <w:iCs/>
          <w:szCs w:val="20"/>
        </w:rPr>
        <w:t>T_interrupt</w:t>
      </w:r>
      <w:proofErr w:type="spellEnd"/>
      <w:r>
        <w:rPr>
          <w:rFonts w:eastAsia="Calibri" w:cs="Times New Roman"/>
          <w:iCs/>
          <w:szCs w:val="20"/>
        </w:rPr>
        <w:t xml:space="preserve"> requirement to include also known FR2 cell, w</w:t>
      </w:r>
      <w:r w:rsidRPr="002879C1">
        <w:rPr>
          <w:rFonts w:eastAsia="Calibri" w:cs="Times New Roman"/>
          <w:iCs/>
          <w:szCs w:val="20"/>
        </w:rPr>
        <w:t xml:space="preserve">e propose that </w:t>
      </w:r>
      <w:proofErr w:type="spellStart"/>
      <w:r w:rsidRPr="002879C1">
        <w:rPr>
          <w:rFonts w:eastAsia="Calibri" w:cs="Times New Roman"/>
          <w:iCs/>
          <w:szCs w:val="20"/>
        </w:rPr>
        <w:t>T</w:t>
      </w:r>
      <w:r>
        <w:rPr>
          <w:rFonts w:eastAsia="Calibri" w:cs="Times New Roman"/>
          <w:iCs/>
          <w:szCs w:val="20"/>
        </w:rPr>
        <w:t>_</w:t>
      </w:r>
      <w:r w:rsidRPr="002879C1">
        <w:rPr>
          <w:rFonts w:eastAsia="Calibri" w:cs="Times New Roman"/>
          <w:iCs/>
          <w:szCs w:val="20"/>
        </w:rPr>
        <w:t>search</w:t>
      </w:r>
      <w:proofErr w:type="spellEnd"/>
      <w:r w:rsidRPr="002879C1">
        <w:rPr>
          <w:rFonts w:eastAsia="Calibri" w:cs="Times New Roman"/>
          <w:iCs/>
          <w:szCs w:val="20"/>
        </w:rPr>
        <w:t xml:space="preserve"> value for </w:t>
      </w:r>
      <w:r>
        <w:rPr>
          <w:rFonts w:eastAsia="Calibri" w:cs="Times New Roman"/>
          <w:iCs/>
          <w:szCs w:val="20"/>
        </w:rPr>
        <w:t>an</w:t>
      </w:r>
      <w:r w:rsidRPr="002879C1">
        <w:rPr>
          <w:rFonts w:eastAsia="Calibri" w:cs="Times New Roman"/>
          <w:iCs/>
          <w:szCs w:val="20"/>
        </w:rPr>
        <w:t xml:space="preserve"> FR2 target cell </w:t>
      </w:r>
      <w:r>
        <w:rPr>
          <w:rFonts w:eastAsia="Calibri" w:cs="Times New Roman"/>
          <w:iCs/>
          <w:szCs w:val="20"/>
        </w:rPr>
        <w:t>would</w:t>
      </w:r>
      <w:r w:rsidRPr="002879C1">
        <w:rPr>
          <w:rFonts w:eastAsia="Calibri" w:cs="Times New Roman"/>
          <w:iCs/>
          <w:szCs w:val="20"/>
        </w:rPr>
        <w:t xml:space="preserve"> be 0 ms for the scenario where known cell condition is fulfilled</w:t>
      </w:r>
      <w:r w:rsidRPr="002879C1">
        <w:t>.</w:t>
      </w:r>
      <w:r>
        <w:t xml:space="preserve"> </w:t>
      </w:r>
    </w:p>
    <w:p w14:paraId="4443EF8E" w14:textId="77777777" w:rsidR="00D752E2" w:rsidRDefault="00D752E2" w:rsidP="00D752E2">
      <w:pPr>
        <w:pStyle w:val="RAN4proposal"/>
      </w:pPr>
      <w:proofErr w:type="spellStart"/>
      <w:r>
        <w:t>T_search</w:t>
      </w:r>
      <w:proofErr w:type="spellEnd"/>
      <w:r>
        <w:t xml:space="preserve"> = 0 ms for known FR2 target cell.</w:t>
      </w:r>
    </w:p>
    <w:p w14:paraId="7D4A007C" w14:textId="77777777" w:rsidR="00D752E2" w:rsidRPr="002879C1" w:rsidRDefault="00D752E2" w:rsidP="00D752E2">
      <w:r>
        <w:t>We have proposed how to capture the proposals in this paper in our company CR [4].</w:t>
      </w:r>
    </w:p>
    <w:p w14:paraId="1B01A1EA" w14:textId="77777777" w:rsidR="00D752E2" w:rsidRDefault="00D752E2" w:rsidP="00D752E2">
      <w:pPr>
        <w:pStyle w:val="RAN4H1"/>
      </w:pPr>
      <w:r w:rsidRPr="00A37002">
        <w:lastRenderedPageBreak/>
        <w:t>Conclusion</w:t>
      </w:r>
    </w:p>
    <w:p w14:paraId="28AD5411" w14:textId="77777777" w:rsidR="00D752E2" w:rsidRPr="0080526F" w:rsidRDefault="00D752E2" w:rsidP="00D752E2">
      <w:pPr>
        <w:rPr>
          <w:lang w:val="en-GB"/>
        </w:rPr>
      </w:pPr>
      <w:r w:rsidRPr="0080526F">
        <w:rPr>
          <w:lang w:val="en-GB"/>
        </w:rPr>
        <w:t>In this contribution we have discussed known FR2 cell condition for handover. We have made the following proposals and observations:</w:t>
      </w:r>
    </w:p>
    <w:p w14:paraId="1C7EE3A6" w14:textId="77777777" w:rsidR="00D752E2" w:rsidRPr="0080526F" w:rsidRDefault="00D752E2" w:rsidP="00D752E2">
      <w:pPr>
        <w:pStyle w:val="RAN4Observation"/>
        <w:numPr>
          <w:ilvl w:val="0"/>
          <w:numId w:val="11"/>
        </w:numPr>
      </w:pPr>
      <w:r w:rsidRPr="0080526F">
        <w:t>To enable the UE to validate whether the reported SSB with Index A is still detectable, the UE would need one occurrence of the SSB.</w:t>
      </w:r>
    </w:p>
    <w:p w14:paraId="4AF0181E" w14:textId="77777777" w:rsidR="00D752E2" w:rsidRPr="0080526F" w:rsidRDefault="00D752E2" w:rsidP="00D752E2">
      <w:pPr>
        <w:pStyle w:val="RAN4proposal"/>
        <w:numPr>
          <w:ilvl w:val="0"/>
          <w:numId w:val="8"/>
        </w:numPr>
      </w:pPr>
      <w:r w:rsidRPr="0080526F">
        <w:t>For FR2 the conditions for a known target cell is that it remains detectable during [X+Y] ms.</w:t>
      </w:r>
    </w:p>
    <w:p w14:paraId="77DA154E" w14:textId="77777777" w:rsidR="00D752E2" w:rsidRPr="0080526F" w:rsidRDefault="00D752E2" w:rsidP="00D752E2">
      <w:pPr>
        <w:pStyle w:val="RAN4proposal"/>
      </w:pPr>
      <w:r w:rsidRPr="0080526F">
        <w:t>For FR2 the conditions for the known target cell is that the SSB remains detectable during [Y] ms.</w:t>
      </w:r>
    </w:p>
    <w:p w14:paraId="04704C72" w14:textId="77777777" w:rsidR="00D752E2" w:rsidRPr="0080526F" w:rsidRDefault="00D752E2" w:rsidP="00D752E2">
      <w:pPr>
        <w:pStyle w:val="RAN4proposal"/>
      </w:pPr>
      <w:r w:rsidRPr="0080526F">
        <w:rPr>
          <w:rFonts w:eastAsia="Calibri" w:cs="Times New Roman"/>
          <w:szCs w:val="20"/>
        </w:rPr>
        <w:t>The conditions for known PSCell, X, when in an FR2 band is a 5 seconds period</w:t>
      </w:r>
      <w:r w:rsidRPr="0080526F">
        <w:t>.</w:t>
      </w:r>
    </w:p>
    <w:p w14:paraId="633175AC" w14:textId="77777777" w:rsidR="00D752E2" w:rsidRPr="0080526F" w:rsidRDefault="00D752E2" w:rsidP="00D752E2">
      <w:pPr>
        <w:pStyle w:val="RAN4proposal"/>
      </w:pPr>
      <w:r w:rsidRPr="0080526F">
        <w:rPr>
          <w:rFonts w:eastAsia="Calibri" w:cs="Times New Roman"/>
          <w:szCs w:val="20"/>
        </w:rPr>
        <w:t xml:space="preserve">The conditions for known SSB, Y, considering handover to target cell in an FR2 band is equal to the handover delay </w:t>
      </w:r>
      <w:proofErr w:type="spellStart"/>
      <w:r w:rsidRPr="0080526F">
        <w:rPr>
          <w:rFonts w:eastAsia="Calibri" w:cs="Times New Roman"/>
          <w:szCs w:val="20"/>
        </w:rPr>
        <w:t>D_handover</w:t>
      </w:r>
      <w:proofErr w:type="spellEnd"/>
      <w:r w:rsidRPr="0080526F">
        <w:t>.</w:t>
      </w:r>
    </w:p>
    <w:p w14:paraId="7B7C3387" w14:textId="77777777" w:rsidR="00D752E2" w:rsidRPr="0080526F" w:rsidRDefault="00D752E2" w:rsidP="00D752E2">
      <w:pPr>
        <w:pStyle w:val="RAN4proposal"/>
      </w:pPr>
      <w:proofErr w:type="spellStart"/>
      <w:r w:rsidRPr="0080526F">
        <w:t>T_search</w:t>
      </w:r>
      <w:proofErr w:type="spellEnd"/>
      <w:r w:rsidRPr="0080526F">
        <w:t xml:space="preserve"> = 0 ms for known FR2 target cell.</w:t>
      </w:r>
    </w:p>
    <w:p w14:paraId="66D1BF65" w14:textId="77777777" w:rsidR="00D752E2" w:rsidRPr="0080526F" w:rsidRDefault="00D752E2" w:rsidP="00D752E2"/>
    <w:p w14:paraId="17A8818D" w14:textId="77777777" w:rsidR="00D752E2" w:rsidRPr="0080526F" w:rsidRDefault="00D752E2" w:rsidP="00D752E2">
      <w:pPr>
        <w:pStyle w:val="RAN4H1"/>
        <w:numPr>
          <w:ilvl w:val="0"/>
          <w:numId w:val="0"/>
        </w:numPr>
        <w:ind w:left="360" w:hanging="360"/>
      </w:pPr>
      <w:r w:rsidRPr="0080526F">
        <w:t>References</w:t>
      </w:r>
    </w:p>
    <w:p w14:paraId="367EBB5D" w14:textId="77777777" w:rsidR="00D752E2" w:rsidRPr="0080526F" w:rsidRDefault="00D752E2" w:rsidP="00D752E2">
      <w:pPr>
        <w:pStyle w:val="ListParagraph"/>
        <w:numPr>
          <w:ilvl w:val="0"/>
          <w:numId w:val="21"/>
        </w:numPr>
        <w:ind w:right="-22"/>
        <w:rPr>
          <w:lang w:val="en-GB"/>
        </w:rPr>
      </w:pPr>
      <w:r w:rsidRPr="0080526F">
        <w:rPr>
          <w:lang w:val="en-GB"/>
        </w:rPr>
        <w:t xml:space="preserve">R4-1904696, Way forward on FR2 SCell activation delay, Qualcomm, </w:t>
      </w:r>
      <w:r w:rsidRPr="0080526F">
        <w:t xml:space="preserve">3GPP TSG-RAN WG4 RAN#90bis, Xi’an, China, 8th – 12th </w:t>
      </w:r>
      <w:proofErr w:type="gramStart"/>
      <w:r w:rsidRPr="0080526F">
        <w:t>Apr,</w:t>
      </w:r>
      <w:proofErr w:type="gramEnd"/>
      <w:r w:rsidRPr="0080526F">
        <w:t xml:space="preserve"> 2019.</w:t>
      </w:r>
    </w:p>
    <w:p w14:paraId="36E6C104" w14:textId="77777777" w:rsidR="00D752E2" w:rsidRPr="0080526F" w:rsidRDefault="00D752E2" w:rsidP="00D752E2">
      <w:pPr>
        <w:pStyle w:val="ListParagraph"/>
        <w:numPr>
          <w:ilvl w:val="0"/>
          <w:numId w:val="21"/>
        </w:numPr>
        <w:ind w:right="-22"/>
        <w:rPr>
          <w:lang w:val="en-GB"/>
        </w:rPr>
      </w:pPr>
      <w:r w:rsidRPr="0080526F">
        <w:rPr>
          <w:lang w:val="en-GB"/>
        </w:rPr>
        <w:t xml:space="preserve">R4-1904845, </w:t>
      </w:r>
      <w:r w:rsidRPr="0080526F">
        <w:t xml:space="preserve">WF on known cell condition for PSCell FR2, Nokia, Nokia Shanghai Bell, 3GPP TSG-RAN WG4 RAN#90bis, Xi’an, China, 8th – 12th </w:t>
      </w:r>
      <w:proofErr w:type="gramStart"/>
      <w:r w:rsidRPr="0080526F">
        <w:t>Apr,</w:t>
      </w:r>
      <w:proofErr w:type="gramEnd"/>
      <w:r w:rsidRPr="0080526F">
        <w:t xml:space="preserve"> 2019.</w:t>
      </w:r>
    </w:p>
    <w:p w14:paraId="4D879550" w14:textId="77777777" w:rsidR="00D752E2" w:rsidRPr="0080526F" w:rsidRDefault="00D752E2" w:rsidP="00D752E2">
      <w:pPr>
        <w:pStyle w:val="ListParagraph"/>
        <w:numPr>
          <w:ilvl w:val="0"/>
          <w:numId w:val="21"/>
        </w:numPr>
        <w:ind w:right="-22"/>
        <w:rPr>
          <w:lang w:val="en-GB"/>
        </w:rPr>
      </w:pPr>
      <w:r w:rsidRPr="0080526F">
        <w:rPr>
          <w:lang w:val="en-GB"/>
        </w:rPr>
        <w:t xml:space="preserve">R4-1905937, PSCell addition delay in FR2 and Known cell condition for FR2, </w:t>
      </w:r>
      <w:r w:rsidRPr="0080526F">
        <w:t>Nokia, Nokia Shanghai Bell, 3GPP TSG-RAN WG4 Meeting #91, Reno, United States, 13 – 17 May 2019.</w:t>
      </w:r>
    </w:p>
    <w:p w14:paraId="6577F640" w14:textId="77777777" w:rsidR="00D752E2" w:rsidRPr="0080526F" w:rsidRDefault="00D752E2" w:rsidP="00D752E2">
      <w:pPr>
        <w:pStyle w:val="ListParagraph"/>
        <w:numPr>
          <w:ilvl w:val="0"/>
          <w:numId w:val="21"/>
        </w:numPr>
        <w:ind w:right="-22"/>
        <w:rPr>
          <w:lang w:val="en-GB"/>
        </w:rPr>
      </w:pPr>
      <w:r w:rsidRPr="0080526F">
        <w:rPr>
          <w:lang w:val="en-GB"/>
        </w:rPr>
        <w:t>R4-1906239,</w:t>
      </w:r>
      <w:r w:rsidRPr="0080526F">
        <w:t xml:space="preserve"> </w:t>
      </w:r>
      <w:r w:rsidRPr="0080526F">
        <w:rPr>
          <w:lang w:val="en-GB"/>
        </w:rPr>
        <w:t xml:space="preserve">CR section 6.1.1.4, 6.1.1.5 Handover to known FR2 cell, </w:t>
      </w:r>
      <w:r w:rsidRPr="0080526F">
        <w:t>Nokia, Nokia Shanghai Bell, 3GPP TSG-RAN WG4 Meeting #91, Reno, United States, 13 – 17</w:t>
      </w:r>
      <w:r w:rsidRPr="00BC2FC4">
        <w:t xml:space="preserve"> May 2019</w:t>
      </w:r>
      <w:r>
        <w:t>.</w:t>
      </w:r>
    </w:p>
    <w:p w14:paraId="2B48E00C" w14:textId="37CFE1C8" w:rsidR="002879C1" w:rsidRPr="00D752E2" w:rsidRDefault="002879C1" w:rsidP="00D752E2">
      <w:pPr>
        <w:rPr>
          <w:lang w:val="en-GB"/>
        </w:rPr>
      </w:pPr>
      <w:bookmarkStart w:id="4" w:name="_GoBack"/>
      <w:bookmarkEnd w:id="4"/>
    </w:p>
    <w:sectPr w:rsidR="002879C1" w:rsidRPr="00D752E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48376" w14:textId="77777777" w:rsidR="00AE305C" w:rsidRDefault="00AE305C" w:rsidP="00001C9B">
      <w:pPr>
        <w:spacing w:after="0" w:line="240" w:lineRule="auto"/>
      </w:pPr>
      <w:r>
        <w:separator/>
      </w:r>
    </w:p>
  </w:endnote>
  <w:endnote w:type="continuationSeparator" w:id="0">
    <w:p w14:paraId="4CAF8DA1" w14:textId="77777777" w:rsidR="00AE305C" w:rsidRDefault="00AE305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7CBF2" w14:textId="77777777" w:rsidR="00AE305C" w:rsidRDefault="00AE305C" w:rsidP="00001C9B">
      <w:pPr>
        <w:spacing w:after="0" w:line="240" w:lineRule="auto"/>
      </w:pPr>
      <w:r>
        <w:separator/>
      </w:r>
    </w:p>
  </w:footnote>
  <w:footnote w:type="continuationSeparator" w:id="0">
    <w:p w14:paraId="3ACA420B" w14:textId="77777777" w:rsidR="00AE305C" w:rsidRDefault="00AE305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6E1549"/>
    <w:multiLevelType w:val="hybridMultilevel"/>
    <w:tmpl w:val="A89E5216"/>
    <w:lvl w:ilvl="0" w:tplc="7C66FCD0">
      <w:start w:val="1"/>
      <w:numFmt w:val="bullet"/>
      <w:lvlText w:val="•"/>
      <w:lvlJc w:val="left"/>
      <w:pPr>
        <w:tabs>
          <w:tab w:val="num" w:pos="720"/>
        </w:tabs>
        <w:ind w:left="720" w:hanging="360"/>
      </w:pPr>
      <w:rPr>
        <w:rFonts w:ascii="Arial" w:hAnsi="Arial" w:hint="default"/>
      </w:rPr>
    </w:lvl>
    <w:lvl w:ilvl="1" w:tplc="7BBC7BCC">
      <w:start w:val="1"/>
      <w:numFmt w:val="decimal"/>
      <w:lvlText w:val="%2."/>
      <w:lvlJc w:val="left"/>
      <w:pPr>
        <w:tabs>
          <w:tab w:val="num" w:pos="1440"/>
        </w:tabs>
        <w:ind w:left="1440" w:hanging="360"/>
      </w:pPr>
    </w:lvl>
    <w:lvl w:ilvl="2" w:tplc="E04433B0" w:tentative="1">
      <w:start w:val="1"/>
      <w:numFmt w:val="bullet"/>
      <w:lvlText w:val="•"/>
      <w:lvlJc w:val="left"/>
      <w:pPr>
        <w:tabs>
          <w:tab w:val="num" w:pos="2160"/>
        </w:tabs>
        <w:ind w:left="2160" w:hanging="360"/>
      </w:pPr>
      <w:rPr>
        <w:rFonts w:ascii="Arial" w:hAnsi="Arial" w:hint="default"/>
      </w:rPr>
    </w:lvl>
    <w:lvl w:ilvl="3" w:tplc="5CAA7A9C" w:tentative="1">
      <w:start w:val="1"/>
      <w:numFmt w:val="bullet"/>
      <w:lvlText w:val="•"/>
      <w:lvlJc w:val="left"/>
      <w:pPr>
        <w:tabs>
          <w:tab w:val="num" w:pos="2880"/>
        </w:tabs>
        <w:ind w:left="2880" w:hanging="360"/>
      </w:pPr>
      <w:rPr>
        <w:rFonts w:ascii="Arial" w:hAnsi="Arial" w:hint="default"/>
      </w:rPr>
    </w:lvl>
    <w:lvl w:ilvl="4" w:tplc="206E9464" w:tentative="1">
      <w:start w:val="1"/>
      <w:numFmt w:val="bullet"/>
      <w:lvlText w:val="•"/>
      <w:lvlJc w:val="left"/>
      <w:pPr>
        <w:tabs>
          <w:tab w:val="num" w:pos="3600"/>
        </w:tabs>
        <w:ind w:left="3600" w:hanging="360"/>
      </w:pPr>
      <w:rPr>
        <w:rFonts w:ascii="Arial" w:hAnsi="Arial" w:hint="default"/>
      </w:rPr>
    </w:lvl>
    <w:lvl w:ilvl="5" w:tplc="26C4AC32" w:tentative="1">
      <w:start w:val="1"/>
      <w:numFmt w:val="bullet"/>
      <w:lvlText w:val="•"/>
      <w:lvlJc w:val="left"/>
      <w:pPr>
        <w:tabs>
          <w:tab w:val="num" w:pos="4320"/>
        </w:tabs>
        <w:ind w:left="4320" w:hanging="360"/>
      </w:pPr>
      <w:rPr>
        <w:rFonts w:ascii="Arial" w:hAnsi="Arial" w:hint="default"/>
      </w:rPr>
    </w:lvl>
    <w:lvl w:ilvl="6" w:tplc="A2925B04" w:tentative="1">
      <w:start w:val="1"/>
      <w:numFmt w:val="bullet"/>
      <w:lvlText w:val="•"/>
      <w:lvlJc w:val="left"/>
      <w:pPr>
        <w:tabs>
          <w:tab w:val="num" w:pos="5040"/>
        </w:tabs>
        <w:ind w:left="5040" w:hanging="360"/>
      </w:pPr>
      <w:rPr>
        <w:rFonts w:ascii="Arial" w:hAnsi="Arial" w:hint="default"/>
      </w:rPr>
    </w:lvl>
    <w:lvl w:ilvl="7" w:tplc="3A203944" w:tentative="1">
      <w:start w:val="1"/>
      <w:numFmt w:val="bullet"/>
      <w:lvlText w:val="•"/>
      <w:lvlJc w:val="left"/>
      <w:pPr>
        <w:tabs>
          <w:tab w:val="num" w:pos="5760"/>
        </w:tabs>
        <w:ind w:left="5760" w:hanging="360"/>
      </w:pPr>
      <w:rPr>
        <w:rFonts w:ascii="Arial" w:hAnsi="Arial" w:hint="default"/>
      </w:rPr>
    </w:lvl>
    <w:lvl w:ilvl="8" w:tplc="72489A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FD264B"/>
    <w:multiLevelType w:val="hybridMultilevel"/>
    <w:tmpl w:val="65EC6B7C"/>
    <w:lvl w:ilvl="0" w:tplc="F260F536">
      <w:start w:val="1"/>
      <w:numFmt w:val="bullet"/>
      <w:lvlText w:val="•"/>
      <w:lvlJc w:val="left"/>
      <w:pPr>
        <w:tabs>
          <w:tab w:val="num" w:pos="720"/>
        </w:tabs>
        <w:ind w:left="720" w:hanging="360"/>
      </w:pPr>
      <w:rPr>
        <w:rFonts w:ascii="Arial" w:hAnsi="Arial" w:hint="default"/>
      </w:rPr>
    </w:lvl>
    <w:lvl w:ilvl="1" w:tplc="DBF8703C">
      <w:start w:val="115"/>
      <w:numFmt w:val="bullet"/>
      <w:lvlText w:val="–"/>
      <w:lvlJc w:val="left"/>
      <w:pPr>
        <w:tabs>
          <w:tab w:val="num" w:pos="1440"/>
        </w:tabs>
        <w:ind w:left="1440" w:hanging="360"/>
      </w:pPr>
      <w:rPr>
        <w:rFonts w:ascii="Arial" w:hAnsi="Arial" w:hint="default"/>
      </w:rPr>
    </w:lvl>
    <w:lvl w:ilvl="2" w:tplc="2DEE5ACA" w:tentative="1">
      <w:start w:val="1"/>
      <w:numFmt w:val="bullet"/>
      <w:lvlText w:val="•"/>
      <w:lvlJc w:val="left"/>
      <w:pPr>
        <w:tabs>
          <w:tab w:val="num" w:pos="2160"/>
        </w:tabs>
        <w:ind w:left="2160" w:hanging="360"/>
      </w:pPr>
      <w:rPr>
        <w:rFonts w:ascii="Arial" w:hAnsi="Arial" w:hint="default"/>
      </w:rPr>
    </w:lvl>
    <w:lvl w:ilvl="3" w:tplc="5A4457E4" w:tentative="1">
      <w:start w:val="1"/>
      <w:numFmt w:val="bullet"/>
      <w:lvlText w:val="•"/>
      <w:lvlJc w:val="left"/>
      <w:pPr>
        <w:tabs>
          <w:tab w:val="num" w:pos="2880"/>
        </w:tabs>
        <w:ind w:left="2880" w:hanging="360"/>
      </w:pPr>
      <w:rPr>
        <w:rFonts w:ascii="Arial" w:hAnsi="Arial" w:hint="default"/>
      </w:rPr>
    </w:lvl>
    <w:lvl w:ilvl="4" w:tplc="386CE0FE" w:tentative="1">
      <w:start w:val="1"/>
      <w:numFmt w:val="bullet"/>
      <w:lvlText w:val="•"/>
      <w:lvlJc w:val="left"/>
      <w:pPr>
        <w:tabs>
          <w:tab w:val="num" w:pos="3600"/>
        </w:tabs>
        <w:ind w:left="3600" w:hanging="360"/>
      </w:pPr>
      <w:rPr>
        <w:rFonts w:ascii="Arial" w:hAnsi="Arial" w:hint="default"/>
      </w:rPr>
    </w:lvl>
    <w:lvl w:ilvl="5" w:tplc="00D2D58E" w:tentative="1">
      <w:start w:val="1"/>
      <w:numFmt w:val="bullet"/>
      <w:lvlText w:val="•"/>
      <w:lvlJc w:val="left"/>
      <w:pPr>
        <w:tabs>
          <w:tab w:val="num" w:pos="4320"/>
        </w:tabs>
        <w:ind w:left="4320" w:hanging="360"/>
      </w:pPr>
      <w:rPr>
        <w:rFonts w:ascii="Arial" w:hAnsi="Arial" w:hint="default"/>
      </w:rPr>
    </w:lvl>
    <w:lvl w:ilvl="6" w:tplc="48E27A4A" w:tentative="1">
      <w:start w:val="1"/>
      <w:numFmt w:val="bullet"/>
      <w:lvlText w:val="•"/>
      <w:lvlJc w:val="left"/>
      <w:pPr>
        <w:tabs>
          <w:tab w:val="num" w:pos="5040"/>
        </w:tabs>
        <w:ind w:left="5040" w:hanging="360"/>
      </w:pPr>
      <w:rPr>
        <w:rFonts w:ascii="Arial" w:hAnsi="Arial" w:hint="default"/>
      </w:rPr>
    </w:lvl>
    <w:lvl w:ilvl="7" w:tplc="0DB06CC8" w:tentative="1">
      <w:start w:val="1"/>
      <w:numFmt w:val="bullet"/>
      <w:lvlText w:val="•"/>
      <w:lvlJc w:val="left"/>
      <w:pPr>
        <w:tabs>
          <w:tab w:val="num" w:pos="5760"/>
        </w:tabs>
        <w:ind w:left="5760" w:hanging="360"/>
      </w:pPr>
      <w:rPr>
        <w:rFonts w:ascii="Arial" w:hAnsi="Arial" w:hint="default"/>
      </w:rPr>
    </w:lvl>
    <w:lvl w:ilvl="8" w:tplc="B4CA58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9B96FB5"/>
    <w:multiLevelType w:val="hybridMultilevel"/>
    <w:tmpl w:val="638087C0"/>
    <w:lvl w:ilvl="0" w:tplc="546AD78E">
      <w:start w:val="1"/>
      <w:numFmt w:val="bullet"/>
      <w:lvlText w:val="•"/>
      <w:lvlJc w:val="left"/>
      <w:pPr>
        <w:tabs>
          <w:tab w:val="num" w:pos="720"/>
        </w:tabs>
        <w:ind w:left="720" w:hanging="360"/>
      </w:pPr>
      <w:rPr>
        <w:rFonts w:ascii="Arial" w:hAnsi="Arial" w:hint="default"/>
      </w:rPr>
    </w:lvl>
    <w:lvl w:ilvl="1" w:tplc="1D6E4DA2">
      <w:start w:val="115"/>
      <w:numFmt w:val="bullet"/>
      <w:lvlText w:val="–"/>
      <w:lvlJc w:val="left"/>
      <w:pPr>
        <w:tabs>
          <w:tab w:val="num" w:pos="1440"/>
        </w:tabs>
        <w:ind w:left="1440" w:hanging="360"/>
      </w:pPr>
      <w:rPr>
        <w:rFonts w:ascii="Arial" w:hAnsi="Arial" w:hint="default"/>
      </w:rPr>
    </w:lvl>
    <w:lvl w:ilvl="2" w:tplc="AA667A16" w:tentative="1">
      <w:start w:val="1"/>
      <w:numFmt w:val="bullet"/>
      <w:lvlText w:val="•"/>
      <w:lvlJc w:val="left"/>
      <w:pPr>
        <w:tabs>
          <w:tab w:val="num" w:pos="2160"/>
        </w:tabs>
        <w:ind w:left="2160" w:hanging="360"/>
      </w:pPr>
      <w:rPr>
        <w:rFonts w:ascii="Arial" w:hAnsi="Arial" w:hint="default"/>
      </w:rPr>
    </w:lvl>
    <w:lvl w:ilvl="3" w:tplc="3BB4D482" w:tentative="1">
      <w:start w:val="1"/>
      <w:numFmt w:val="bullet"/>
      <w:lvlText w:val="•"/>
      <w:lvlJc w:val="left"/>
      <w:pPr>
        <w:tabs>
          <w:tab w:val="num" w:pos="2880"/>
        </w:tabs>
        <w:ind w:left="2880" w:hanging="360"/>
      </w:pPr>
      <w:rPr>
        <w:rFonts w:ascii="Arial" w:hAnsi="Arial" w:hint="default"/>
      </w:rPr>
    </w:lvl>
    <w:lvl w:ilvl="4" w:tplc="31D2B746" w:tentative="1">
      <w:start w:val="1"/>
      <w:numFmt w:val="bullet"/>
      <w:lvlText w:val="•"/>
      <w:lvlJc w:val="left"/>
      <w:pPr>
        <w:tabs>
          <w:tab w:val="num" w:pos="3600"/>
        </w:tabs>
        <w:ind w:left="3600" w:hanging="360"/>
      </w:pPr>
      <w:rPr>
        <w:rFonts w:ascii="Arial" w:hAnsi="Arial" w:hint="default"/>
      </w:rPr>
    </w:lvl>
    <w:lvl w:ilvl="5" w:tplc="AD84371C" w:tentative="1">
      <w:start w:val="1"/>
      <w:numFmt w:val="bullet"/>
      <w:lvlText w:val="•"/>
      <w:lvlJc w:val="left"/>
      <w:pPr>
        <w:tabs>
          <w:tab w:val="num" w:pos="4320"/>
        </w:tabs>
        <w:ind w:left="4320" w:hanging="360"/>
      </w:pPr>
      <w:rPr>
        <w:rFonts w:ascii="Arial" w:hAnsi="Arial" w:hint="default"/>
      </w:rPr>
    </w:lvl>
    <w:lvl w:ilvl="6" w:tplc="AFEC6260" w:tentative="1">
      <w:start w:val="1"/>
      <w:numFmt w:val="bullet"/>
      <w:lvlText w:val="•"/>
      <w:lvlJc w:val="left"/>
      <w:pPr>
        <w:tabs>
          <w:tab w:val="num" w:pos="5040"/>
        </w:tabs>
        <w:ind w:left="5040" w:hanging="360"/>
      </w:pPr>
      <w:rPr>
        <w:rFonts w:ascii="Arial" w:hAnsi="Arial" w:hint="default"/>
      </w:rPr>
    </w:lvl>
    <w:lvl w:ilvl="7" w:tplc="8BD83E06" w:tentative="1">
      <w:start w:val="1"/>
      <w:numFmt w:val="bullet"/>
      <w:lvlText w:val="•"/>
      <w:lvlJc w:val="left"/>
      <w:pPr>
        <w:tabs>
          <w:tab w:val="num" w:pos="5760"/>
        </w:tabs>
        <w:ind w:left="5760" w:hanging="360"/>
      </w:pPr>
      <w:rPr>
        <w:rFonts w:ascii="Arial" w:hAnsi="Arial" w:hint="default"/>
      </w:rPr>
    </w:lvl>
    <w:lvl w:ilvl="8" w:tplc="E26AAE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FC7D6B"/>
    <w:multiLevelType w:val="hybridMultilevel"/>
    <w:tmpl w:val="81367A88"/>
    <w:lvl w:ilvl="0" w:tplc="4D285BE4">
      <w:start w:val="1"/>
      <w:numFmt w:val="bullet"/>
      <w:lvlText w:val="•"/>
      <w:lvlJc w:val="left"/>
      <w:pPr>
        <w:tabs>
          <w:tab w:val="num" w:pos="720"/>
        </w:tabs>
        <w:ind w:left="720" w:hanging="360"/>
      </w:pPr>
      <w:rPr>
        <w:rFonts w:ascii="Arial" w:hAnsi="Arial" w:hint="default"/>
      </w:rPr>
    </w:lvl>
    <w:lvl w:ilvl="1" w:tplc="C662110E">
      <w:start w:val="115"/>
      <w:numFmt w:val="bullet"/>
      <w:lvlText w:val="–"/>
      <w:lvlJc w:val="left"/>
      <w:pPr>
        <w:tabs>
          <w:tab w:val="num" w:pos="1440"/>
        </w:tabs>
        <w:ind w:left="1440" w:hanging="360"/>
      </w:pPr>
      <w:rPr>
        <w:rFonts w:ascii="Arial" w:hAnsi="Arial" w:hint="default"/>
      </w:rPr>
    </w:lvl>
    <w:lvl w:ilvl="2" w:tplc="B538D550">
      <w:start w:val="115"/>
      <w:numFmt w:val="bullet"/>
      <w:lvlText w:val="•"/>
      <w:lvlJc w:val="left"/>
      <w:pPr>
        <w:tabs>
          <w:tab w:val="num" w:pos="2160"/>
        </w:tabs>
        <w:ind w:left="2160" w:hanging="360"/>
      </w:pPr>
      <w:rPr>
        <w:rFonts w:ascii="Arial" w:hAnsi="Arial" w:hint="default"/>
      </w:rPr>
    </w:lvl>
    <w:lvl w:ilvl="3" w:tplc="F28EFC64" w:tentative="1">
      <w:start w:val="1"/>
      <w:numFmt w:val="bullet"/>
      <w:lvlText w:val="•"/>
      <w:lvlJc w:val="left"/>
      <w:pPr>
        <w:tabs>
          <w:tab w:val="num" w:pos="2880"/>
        </w:tabs>
        <w:ind w:left="2880" w:hanging="360"/>
      </w:pPr>
      <w:rPr>
        <w:rFonts w:ascii="Arial" w:hAnsi="Arial" w:hint="default"/>
      </w:rPr>
    </w:lvl>
    <w:lvl w:ilvl="4" w:tplc="3E54AA28" w:tentative="1">
      <w:start w:val="1"/>
      <w:numFmt w:val="bullet"/>
      <w:lvlText w:val="•"/>
      <w:lvlJc w:val="left"/>
      <w:pPr>
        <w:tabs>
          <w:tab w:val="num" w:pos="3600"/>
        </w:tabs>
        <w:ind w:left="3600" w:hanging="360"/>
      </w:pPr>
      <w:rPr>
        <w:rFonts w:ascii="Arial" w:hAnsi="Arial" w:hint="default"/>
      </w:rPr>
    </w:lvl>
    <w:lvl w:ilvl="5" w:tplc="39BAE3AC" w:tentative="1">
      <w:start w:val="1"/>
      <w:numFmt w:val="bullet"/>
      <w:lvlText w:val="•"/>
      <w:lvlJc w:val="left"/>
      <w:pPr>
        <w:tabs>
          <w:tab w:val="num" w:pos="4320"/>
        </w:tabs>
        <w:ind w:left="4320" w:hanging="360"/>
      </w:pPr>
      <w:rPr>
        <w:rFonts w:ascii="Arial" w:hAnsi="Arial" w:hint="default"/>
      </w:rPr>
    </w:lvl>
    <w:lvl w:ilvl="6" w:tplc="FFCA6D08" w:tentative="1">
      <w:start w:val="1"/>
      <w:numFmt w:val="bullet"/>
      <w:lvlText w:val="•"/>
      <w:lvlJc w:val="left"/>
      <w:pPr>
        <w:tabs>
          <w:tab w:val="num" w:pos="5040"/>
        </w:tabs>
        <w:ind w:left="5040" w:hanging="360"/>
      </w:pPr>
      <w:rPr>
        <w:rFonts w:ascii="Arial" w:hAnsi="Arial" w:hint="default"/>
      </w:rPr>
    </w:lvl>
    <w:lvl w:ilvl="7" w:tplc="290C3A28" w:tentative="1">
      <w:start w:val="1"/>
      <w:numFmt w:val="bullet"/>
      <w:lvlText w:val="•"/>
      <w:lvlJc w:val="left"/>
      <w:pPr>
        <w:tabs>
          <w:tab w:val="num" w:pos="5760"/>
        </w:tabs>
        <w:ind w:left="5760" w:hanging="360"/>
      </w:pPr>
      <w:rPr>
        <w:rFonts w:ascii="Arial" w:hAnsi="Arial" w:hint="default"/>
      </w:rPr>
    </w:lvl>
    <w:lvl w:ilvl="8" w:tplc="8FD09C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1C73C36"/>
    <w:multiLevelType w:val="hybridMultilevel"/>
    <w:tmpl w:val="636E05CA"/>
    <w:lvl w:ilvl="0" w:tplc="83BADF0C">
      <w:start w:val="1"/>
      <w:numFmt w:val="bullet"/>
      <w:lvlText w:val="•"/>
      <w:lvlJc w:val="left"/>
      <w:pPr>
        <w:tabs>
          <w:tab w:val="num" w:pos="720"/>
        </w:tabs>
        <w:ind w:left="720" w:hanging="360"/>
      </w:pPr>
      <w:rPr>
        <w:rFonts w:ascii="Arial" w:hAnsi="Arial" w:hint="default"/>
      </w:rPr>
    </w:lvl>
    <w:lvl w:ilvl="1" w:tplc="62CCC2E2">
      <w:start w:val="115"/>
      <w:numFmt w:val="bullet"/>
      <w:lvlText w:val="–"/>
      <w:lvlJc w:val="left"/>
      <w:pPr>
        <w:tabs>
          <w:tab w:val="num" w:pos="1440"/>
        </w:tabs>
        <w:ind w:left="1440" w:hanging="360"/>
      </w:pPr>
      <w:rPr>
        <w:rFonts w:ascii="Arial" w:hAnsi="Arial" w:hint="default"/>
      </w:rPr>
    </w:lvl>
    <w:lvl w:ilvl="2" w:tplc="08C4C18E" w:tentative="1">
      <w:start w:val="1"/>
      <w:numFmt w:val="bullet"/>
      <w:lvlText w:val="•"/>
      <w:lvlJc w:val="left"/>
      <w:pPr>
        <w:tabs>
          <w:tab w:val="num" w:pos="2160"/>
        </w:tabs>
        <w:ind w:left="2160" w:hanging="360"/>
      </w:pPr>
      <w:rPr>
        <w:rFonts w:ascii="Arial" w:hAnsi="Arial" w:hint="default"/>
      </w:rPr>
    </w:lvl>
    <w:lvl w:ilvl="3" w:tplc="D722C61E" w:tentative="1">
      <w:start w:val="1"/>
      <w:numFmt w:val="bullet"/>
      <w:lvlText w:val="•"/>
      <w:lvlJc w:val="left"/>
      <w:pPr>
        <w:tabs>
          <w:tab w:val="num" w:pos="2880"/>
        </w:tabs>
        <w:ind w:left="2880" w:hanging="360"/>
      </w:pPr>
      <w:rPr>
        <w:rFonts w:ascii="Arial" w:hAnsi="Arial" w:hint="default"/>
      </w:rPr>
    </w:lvl>
    <w:lvl w:ilvl="4" w:tplc="0CAEB510" w:tentative="1">
      <w:start w:val="1"/>
      <w:numFmt w:val="bullet"/>
      <w:lvlText w:val="•"/>
      <w:lvlJc w:val="left"/>
      <w:pPr>
        <w:tabs>
          <w:tab w:val="num" w:pos="3600"/>
        </w:tabs>
        <w:ind w:left="3600" w:hanging="360"/>
      </w:pPr>
      <w:rPr>
        <w:rFonts w:ascii="Arial" w:hAnsi="Arial" w:hint="default"/>
      </w:rPr>
    </w:lvl>
    <w:lvl w:ilvl="5" w:tplc="BA7EF898" w:tentative="1">
      <w:start w:val="1"/>
      <w:numFmt w:val="bullet"/>
      <w:lvlText w:val="•"/>
      <w:lvlJc w:val="left"/>
      <w:pPr>
        <w:tabs>
          <w:tab w:val="num" w:pos="4320"/>
        </w:tabs>
        <w:ind w:left="4320" w:hanging="360"/>
      </w:pPr>
      <w:rPr>
        <w:rFonts w:ascii="Arial" w:hAnsi="Arial" w:hint="default"/>
      </w:rPr>
    </w:lvl>
    <w:lvl w:ilvl="6" w:tplc="6B40CD06" w:tentative="1">
      <w:start w:val="1"/>
      <w:numFmt w:val="bullet"/>
      <w:lvlText w:val="•"/>
      <w:lvlJc w:val="left"/>
      <w:pPr>
        <w:tabs>
          <w:tab w:val="num" w:pos="5040"/>
        </w:tabs>
        <w:ind w:left="5040" w:hanging="360"/>
      </w:pPr>
      <w:rPr>
        <w:rFonts w:ascii="Arial" w:hAnsi="Arial" w:hint="default"/>
      </w:rPr>
    </w:lvl>
    <w:lvl w:ilvl="7" w:tplc="144CE8B0" w:tentative="1">
      <w:start w:val="1"/>
      <w:numFmt w:val="bullet"/>
      <w:lvlText w:val="•"/>
      <w:lvlJc w:val="left"/>
      <w:pPr>
        <w:tabs>
          <w:tab w:val="num" w:pos="5760"/>
        </w:tabs>
        <w:ind w:left="5760" w:hanging="360"/>
      </w:pPr>
      <w:rPr>
        <w:rFonts w:ascii="Arial" w:hAnsi="Arial" w:hint="default"/>
      </w:rPr>
    </w:lvl>
    <w:lvl w:ilvl="8" w:tplc="3EA0E9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2"/>
  </w:num>
  <w:num w:numId="4">
    <w:abstractNumId w:val="4"/>
  </w:num>
  <w:num w:numId="5">
    <w:abstractNumId w:val="14"/>
  </w:num>
  <w:num w:numId="6">
    <w:abstractNumId w:val="8"/>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8"/>
    <w:lvlOverride w:ilvl="0">
      <w:startOverride w:val="1"/>
    </w:lvlOverride>
  </w:num>
  <w:num w:numId="12">
    <w:abstractNumId w:val="11"/>
    <w:lvlOverride w:ilvl="0">
      <w:startOverride w:val="1"/>
    </w:lvlOverride>
  </w:num>
  <w:num w:numId="13">
    <w:abstractNumId w:val="8"/>
    <w:lvlOverride w:ilvl="0">
      <w:startOverride w:val="1"/>
    </w:lvlOverride>
  </w:num>
  <w:num w:numId="14">
    <w:abstractNumId w:val="11"/>
    <w:lvlOverride w:ilvl="0">
      <w:startOverride w:val="1"/>
    </w:lvlOverride>
  </w:num>
  <w:num w:numId="15">
    <w:abstractNumId w:val="16"/>
  </w:num>
  <w:num w:numId="16">
    <w:abstractNumId w:val="3"/>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
  </w:num>
  <w:num w:numId="22">
    <w:abstractNumId w:val="9"/>
  </w:num>
  <w:num w:numId="23">
    <w:abstractNumId w:val="2"/>
  </w:num>
  <w:num w:numId="24">
    <w:abstractNumId w:val="10"/>
  </w:num>
  <w:num w:numId="25">
    <w:abstractNumId w:val="15"/>
  </w:num>
  <w:num w:numId="26">
    <w:abstractNumId w:val="6"/>
  </w:num>
  <w:num w:numId="27">
    <w:abstractNumId w:val="8"/>
    <w:lvlOverride w:ilvl="0">
      <w:startOverride w:val="1"/>
    </w:lvlOverride>
  </w:num>
  <w:num w:numId="28">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12C"/>
    <w:rsid w:val="00032CC1"/>
    <w:rsid w:val="00081C24"/>
    <w:rsid w:val="0008612A"/>
    <w:rsid w:val="000B0056"/>
    <w:rsid w:val="000E3450"/>
    <w:rsid w:val="001745F8"/>
    <w:rsid w:val="001838CF"/>
    <w:rsid w:val="001A3BA4"/>
    <w:rsid w:val="001E1634"/>
    <w:rsid w:val="001E30F6"/>
    <w:rsid w:val="00235F5C"/>
    <w:rsid w:val="002879C1"/>
    <w:rsid w:val="002B4922"/>
    <w:rsid w:val="002C2D19"/>
    <w:rsid w:val="002D10FA"/>
    <w:rsid w:val="002D4C55"/>
    <w:rsid w:val="00320F10"/>
    <w:rsid w:val="00324C69"/>
    <w:rsid w:val="00325B64"/>
    <w:rsid w:val="003B4C89"/>
    <w:rsid w:val="003B659E"/>
    <w:rsid w:val="003C2AF5"/>
    <w:rsid w:val="00416892"/>
    <w:rsid w:val="00417770"/>
    <w:rsid w:val="0043750A"/>
    <w:rsid w:val="0044356D"/>
    <w:rsid w:val="00472BF0"/>
    <w:rsid w:val="0048407C"/>
    <w:rsid w:val="004B7469"/>
    <w:rsid w:val="004E5E66"/>
    <w:rsid w:val="00503B4D"/>
    <w:rsid w:val="00504EE9"/>
    <w:rsid w:val="005254E7"/>
    <w:rsid w:val="0053267F"/>
    <w:rsid w:val="00534CC1"/>
    <w:rsid w:val="0054442C"/>
    <w:rsid w:val="00550285"/>
    <w:rsid w:val="005836F8"/>
    <w:rsid w:val="005918FA"/>
    <w:rsid w:val="005C23A4"/>
    <w:rsid w:val="005D1CDF"/>
    <w:rsid w:val="005E61A8"/>
    <w:rsid w:val="005F6419"/>
    <w:rsid w:val="00617400"/>
    <w:rsid w:val="00664950"/>
    <w:rsid w:val="006667BB"/>
    <w:rsid w:val="00683220"/>
    <w:rsid w:val="00687FA0"/>
    <w:rsid w:val="006B7010"/>
    <w:rsid w:val="00710A0A"/>
    <w:rsid w:val="007145FF"/>
    <w:rsid w:val="00751515"/>
    <w:rsid w:val="00762281"/>
    <w:rsid w:val="00785232"/>
    <w:rsid w:val="007979D0"/>
    <w:rsid w:val="007A6E80"/>
    <w:rsid w:val="007C3ED0"/>
    <w:rsid w:val="0080526F"/>
    <w:rsid w:val="00806A76"/>
    <w:rsid w:val="00811C9D"/>
    <w:rsid w:val="00816C80"/>
    <w:rsid w:val="00841BCD"/>
    <w:rsid w:val="00851A8E"/>
    <w:rsid w:val="00875780"/>
    <w:rsid w:val="008826C1"/>
    <w:rsid w:val="00886BCA"/>
    <w:rsid w:val="008B006D"/>
    <w:rsid w:val="0090091A"/>
    <w:rsid w:val="009042BD"/>
    <w:rsid w:val="0091794E"/>
    <w:rsid w:val="00920AA8"/>
    <w:rsid w:val="0094626C"/>
    <w:rsid w:val="00977E1D"/>
    <w:rsid w:val="009D0B5C"/>
    <w:rsid w:val="00A121BF"/>
    <w:rsid w:val="00A22B78"/>
    <w:rsid w:val="00A25AE5"/>
    <w:rsid w:val="00A32F8C"/>
    <w:rsid w:val="00A37002"/>
    <w:rsid w:val="00AA1B0E"/>
    <w:rsid w:val="00AC5CA7"/>
    <w:rsid w:val="00AE305C"/>
    <w:rsid w:val="00AE56B1"/>
    <w:rsid w:val="00B43566"/>
    <w:rsid w:val="00B73862"/>
    <w:rsid w:val="00BA6E48"/>
    <w:rsid w:val="00BC2FC4"/>
    <w:rsid w:val="00BD240C"/>
    <w:rsid w:val="00BF2218"/>
    <w:rsid w:val="00CA26FF"/>
    <w:rsid w:val="00CA5A58"/>
    <w:rsid w:val="00CD7492"/>
    <w:rsid w:val="00CE3A6B"/>
    <w:rsid w:val="00D00211"/>
    <w:rsid w:val="00D06309"/>
    <w:rsid w:val="00D351EA"/>
    <w:rsid w:val="00D43403"/>
    <w:rsid w:val="00D62E71"/>
    <w:rsid w:val="00D71BCE"/>
    <w:rsid w:val="00D740CA"/>
    <w:rsid w:val="00D752E2"/>
    <w:rsid w:val="00D85728"/>
    <w:rsid w:val="00DC52E1"/>
    <w:rsid w:val="00DF2997"/>
    <w:rsid w:val="00E32383"/>
    <w:rsid w:val="00EB5E12"/>
    <w:rsid w:val="00EC7BC3"/>
    <w:rsid w:val="00ED7600"/>
    <w:rsid w:val="00F1362C"/>
    <w:rsid w:val="00F824F5"/>
    <w:rsid w:val="00F87AE4"/>
    <w:rsid w:val="00FA3635"/>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E73F9"/>
  <w15:chartTrackingRefBased/>
  <w15:docId w15:val="{830CFB17-2348-46F7-B241-0D9D51A1B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2879C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920A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0AA8"/>
    <w:rPr>
      <w:rFonts w:ascii="Segoe UI" w:hAnsi="Segoe UI" w:cs="Segoe UI"/>
      <w:sz w:val="18"/>
      <w:szCs w:val="18"/>
    </w:rPr>
  </w:style>
  <w:style w:type="character" w:styleId="CommentReference">
    <w:name w:val="annotation reference"/>
    <w:basedOn w:val="DefaultParagraphFont"/>
    <w:uiPriority w:val="99"/>
    <w:semiHidden/>
    <w:unhideWhenUsed/>
    <w:rsid w:val="00320F10"/>
    <w:rPr>
      <w:sz w:val="16"/>
      <w:szCs w:val="16"/>
    </w:rPr>
  </w:style>
  <w:style w:type="paragraph" w:styleId="CommentText">
    <w:name w:val="annotation text"/>
    <w:basedOn w:val="Normal"/>
    <w:link w:val="CommentTextChar"/>
    <w:uiPriority w:val="99"/>
    <w:semiHidden/>
    <w:unhideWhenUsed/>
    <w:rsid w:val="00320F10"/>
    <w:pPr>
      <w:spacing w:line="240" w:lineRule="auto"/>
    </w:pPr>
    <w:rPr>
      <w:szCs w:val="20"/>
    </w:rPr>
  </w:style>
  <w:style w:type="character" w:customStyle="1" w:styleId="CommentTextChar">
    <w:name w:val="Comment Text Char"/>
    <w:basedOn w:val="DefaultParagraphFont"/>
    <w:link w:val="CommentText"/>
    <w:uiPriority w:val="99"/>
    <w:semiHidden/>
    <w:rsid w:val="00320F1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20F10"/>
    <w:rPr>
      <w:b/>
      <w:bCs/>
    </w:rPr>
  </w:style>
  <w:style w:type="character" w:customStyle="1" w:styleId="CommentSubjectChar">
    <w:name w:val="Comment Subject Char"/>
    <w:basedOn w:val="CommentTextChar"/>
    <w:link w:val="CommentSubject"/>
    <w:uiPriority w:val="99"/>
    <w:semiHidden/>
    <w:rsid w:val="00320F10"/>
    <w:rPr>
      <w:rFonts w:ascii="Times New Roman" w:hAnsi="Times New Roman"/>
      <w:b/>
      <w:bCs/>
      <w:sz w:val="20"/>
      <w:szCs w:val="20"/>
    </w:rPr>
  </w:style>
  <w:style w:type="character" w:customStyle="1" w:styleId="Heading5Char">
    <w:name w:val="Heading 5 Char"/>
    <w:basedOn w:val="DefaultParagraphFont"/>
    <w:link w:val="Heading5"/>
    <w:uiPriority w:val="9"/>
    <w:semiHidden/>
    <w:rsid w:val="002879C1"/>
    <w:rPr>
      <w:rFonts w:asciiTheme="majorHAnsi" w:eastAsiaTheme="majorEastAsia" w:hAnsiTheme="majorHAnsi" w:cstheme="majorBidi"/>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3301">
      <w:bodyDiv w:val="1"/>
      <w:marLeft w:val="0"/>
      <w:marRight w:val="0"/>
      <w:marTop w:val="0"/>
      <w:marBottom w:val="0"/>
      <w:divBdr>
        <w:top w:val="none" w:sz="0" w:space="0" w:color="auto"/>
        <w:left w:val="none" w:sz="0" w:space="0" w:color="auto"/>
        <w:bottom w:val="none" w:sz="0" w:space="0" w:color="auto"/>
        <w:right w:val="none" w:sz="0" w:space="0" w:color="auto"/>
      </w:divBdr>
    </w:div>
    <w:div w:id="63265349">
      <w:bodyDiv w:val="1"/>
      <w:marLeft w:val="0"/>
      <w:marRight w:val="0"/>
      <w:marTop w:val="0"/>
      <w:marBottom w:val="0"/>
      <w:divBdr>
        <w:top w:val="none" w:sz="0" w:space="0" w:color="auto"/>
        <w:left w:val="none" w:sz="0" w:space="0" w:color="auto"/>
        <w:bottom w:val="none" w:sz="0" w:space="0" w:color="auto"/>
        <w:right w:val="none" w:sz="0" w:space="0" w:color="auto"/>
      </w:divBdr>
      <w:divsChild>
        <w:div w:id="186917227">
          <w:marLeft w:val="547"/>
          <w:marRight w:val="0"/>
          <w:marTop w:val="130"/>
          <w:marBottom w:val="0"/>
          <w:divBdr>
            <w:top w:val="none" w:sz="0" w:space="0" w:color="auto"/>
            <w:left w:val="none" w:sz="0" w:space="0" w:color="auto"/>
            <w:bottom w:val="none" w:sz="0" w:space="0" w:color="auto"/>
            <w:right w:val="none" w:sz="0" w:space="0" w:color="auto"/>
          </w:divBdr>
        </w:div>
        <w:div w:id="1314410083">
          <w:marLeft w:val="1166"/>
          <w:marRight w:val="0"/>
          <w:marTop w:val="86"/>
          <w:marBottom w:val="0"/>
          <w:divBdr>
            <w:top w:val="none" w:sz="0" w:space="0" w:color="auto"/>
            <w:left w:val="none" w:sz="0" w:space="0" w:color="auto"/>
            <w:bottom w:val="none" w:sz="0" w:space="0" w:color="auto"/>
            <w:right w:val="none" w:sz="0" w:space="0" w:color="auto"/>
          </w:divBdr>
        </w:div>
        <w:div w:id="1529027350">
          <w:marLeft w:val="1166"/>
          <w:marRight w:val="0"/>
          <w:marTop w:val="86"/>
          <w:marBottom w:val="0"/>
          <w:divBdr>
            <w:top w:val="none" w:sz="0" w:space="0" w:color="auto"/>
            <w:left w:val="none" w:sz="0" w:space="0" w:color="auto"/>
            <w:bottom w:val="none" w:sz="0" w:space="0" w:color="auto"/>
            <w:right w:val="none" w:sz="0" w:space="0" w:color="auto"/>
          </w:divBdr>
        </w:div>
        <w:div w:id="1823354773">
          <w:marLeft w:val="1166"/>
          <w:marRight w:val="0"/>
          <w:marTop w:val="86"/>
          <w:marBottom w:val="0"/>
          <w:divBdr>
            <w:top w:val="none" w:sz="0" w:space="0" w:color="auto"/>
            <w:left w:val="none" w:sz="0" w:space="0" w:color="auto"/>
            <w:bottom w:val="none" w:sz="0" w:space="0" w:color="auto"/>
            <w:right w:val="none" w:sz="0" w:space="0" w:color="auto"/>
          </w:divBdr>
        </w:div>
        <w:div w:id="2144075948">
          <w:marLeft w:val="1166"/>
          <w:marRight w:val="0"/>
          <w:marTop w:val="86"/>
          <w:marBottom w:val="0"/>
          <w:divBdr>
            <w:top w:val="none" w:sz="0" w:space="0" w:color="auto"/>
            <w:left w:val="none" w:sz="0" w:space="0" w:color="auto"/>
            <w:bottom w:val="none" w:sz="0" w:space="0" w:color="auto"/>
            <w:right w:val="none" w:sz="0" w:space="0" w:color="auto"/>
          </w:divBdr>
        </w:div>
      </w:divsChild>
    </w:div>
    <w:div w:id="304746291">
      <w:bodyDiv w:val="1"/>
      <w:marLeft w:val="0"/>
      <w:marRight w:val="0"/>
      <w:marTop w:val="0"/>
      <w:marBottom w:val="0"/>
      <w:divBdr>
        <w:top w:val="none" w:sz="0" w:space="0" w:color="auto"/>
        <w:left w:val="none" w:sz="0" w:space="0" w:color="auto"/>
        <w:bottom w:val="none" w:sz="0" w:space="0" w:color="auto"/>
        <w:right w:val="none" w:sz="0" w:space="0" w:color="auto"/>
      </w:divBdr>
      <w:divsChild>
        <w:div w:id="618220466">
          <w:marLeft w:val="1166"/>
          <w:marRight w:val="0"/>
          <w:marTop w:val="134"/>
          <w:marBottom w:val="0"/>
          <w:divBdr>
            <w:top w:val="none" w:sz="0" w:space="0" w:color="auto"/>
            <w:left w:val="none" w:sz="0" w:space="0" w:color="auto"/>
            <w:bottom w:val="none" w:sz="0" w:space="0" w:color="auto"/>
            <w:right w:val="none" w:sz="0" w:space="0" w:color="auto"/>
          </w:divBdr>
        </w:div>
        <w:div w:id="1322153888">
          <w:marLeft w:val="547"/>
          <w:marRight w:val="0"/>
          <w:marTop w:val="154"/>
          <w:marBottom w:val="0"/>
          <w:divBdr>
            <w:top w:val="none" w:sz="0" w:space="0" w:color="auto"/>
            <w:left w:val="none" w:sz="0" w:space="0" w:color="auto"/>
            <w:bottom w:val="none" w:sz="0" w:space="0" w:color="auto"/>
            <w:right w:val="none" w:sz="0" w:space="0" w:color="auto"/>
          </w:divBdr>
        </w:div>
      </w:divsChild>
    </w:div>
    <w:div w:id="657807759">
      <w:bodyDiv w:val="1"/>
      <w:marLeft w:val="0"/>
      <w:marRight w:val="0"/>
      <w:marTop w:val="0"/>
      <w:marBottom w:val="0"/>
      <w:divBdr>
        <w:top w:val="none" w:sz="0" w:space="0" w:color="auto"/>
        <w:left w:val="none" w:sz="0" w:space="0" w:color="auto"/>
        <w:bottom w:val="none" w:sz="0" w:space="0" w:color="auto"/>
        <w:right w:val="none" w:sz="0" w:space="0" w:color="auto"/>
      </w:divBdr>
    </w:div>
    <w:div w:id="700932180">
      <w:bodyDiv w:val="1"/>
      <w:marLeft w:val="0"/>
      <w:marRight w:val="0"/>
      <w:marTop w:val="0"/>
      <w:marBottom w:val="0"/>
      <w:divBdr>
        <w:top w:val="none" w:sz="0" w:space="0" w:color="auto"/>
        <w:left w:val="none" w:sz="0" w:space="0" w:color="auto"/>
        <w:bottom w:val="none" w:sz="0" w:space="0" w:color="auto"/>
        <w:right w:val="none" w:sz="0" w:space="0" w:color="auto"/>
      </w:divBdr>
    </w:div>
    <w:div w:id="814103394">
      <w:bodyDiv w:val="1"/>
      <w:marLeft w:val="0"/>
      <w:marRight w:val="0"/>
      <w:marTop w:val="0"/>
      <w:marBottom w:val="0"/>
      <w:divBdr>
        <w:top w:val="none" w:sz="0" w:space="0" w:color="auto"/>
        <w:left w:val="none" w:sz="0" w:space="0" w:color="auto"/>
        <w:bottom w:val="none" w:sz="0" w:space="0" w:color="auto"/>
        <w:right w:val="none" w:sz="0" w:space="0" w:color="auto"/>
      </w:divBdr>
      <w:divsChild>
        <w:div w:id="475488551">
          <w:marLeft w:val="1440"/>
          <w:marRight w:val="0"/>
          <w:marTop w:val="110"/>
          <w:marBottom w:val="0"/>
          <w:divBdr>
            <w:top w:val="none" w:sz="0" w:space="0" w:color="auto"/>
            <w:left w:val="none" w:sz="0" w:space="0" w:color="auto"/>
            <w:bottom w:val="none" w:sz="0" w:space="0" w:color="auto"/>
            <w:right w:val="none" w:sz="0" w:space="0" w:color="auto"/>
          </w:divBdr>
        </w:div>
        <w:div w:id="1374231078">
          <w:marLeft w:val="1440"/>
          <w:marRight w:val="0"/>
          <w:marTop w:val="110"/>
          <w:marBottom w:val="0"/>
          <w:divBdr>
            <w:top w:val="none" w:sz="0" w:space="0" w:color="auto"/>
            <w:left w:val="none" w:sz="0" w:space="0" w:color="auto"/>
            <w:bottom w:val="none" w:sz="0" w:space="0" w:color="auto"/>
            <w:right w:val="none" w:sz="0" w:space="0" w:color="auto"/>
          </w:divBdr>
        </w:div>
        <w:div w:id="1659920846">
          <w:marLeft w:val="547"/>
          <w:marRight w:val="0"/>
          <w:marTop w:val="130"/>
          <w:marBottom w:val="0"/>
          <w:divBdr>
            <w:top w:val="none" w:sz="0" w:space="0" w:color="auto"/>
            <w:left w:val="none" w:sz="0" w:space="0" w:color="auto"/>
            <w:bottom w:val="none" w:sz="0" w:space="0" w:color="auto"/>
            <w:right w:val="none" w:sz="0" w:space="0" w:color="auto"/>
          </w:divBdr>
        </w:div>
        <w:div w:id="1815221984">
          <w:marLeft w:val="1440"/>
          <w:marRight w:val="0"/>
          <w:marTop w:val="110"/>
          <w:marBottom w:val="0"/>
          <w:divBdr>
            <w:top w:val="none" w:sz="0" w:space="0" w:color="auto"/>
            <w:left w:val="none" w:sz="0" w:space="0" w:color="auto"/>
            <w:bottom w:val="none" w:sz="0" w:space="0" w:color="auto"/>
            <w:right w:val="none" w:sz="0" w:space="0" w:color="auto"/>
          </w:divBdr>
        </w:div>
      </w:divsChild>
    </w:div>
    <w:div w:id="965281551">
      <w:bodyDiv w:val="1"/>
      <w:marLeft w:val="0"/>
      <w:marRight w:val="0"/>
      <w:marTop w:val="0"/>
      <w:marBottom w:val="0"/>
      <w:divBdr>
        <w:top w:val="none" w:sz="0" w:space="0" w:color="auto"/>
        <w:left w:val="none" w:sz="0" w:space="0" w:color="auto"/>
        <w:bottom w:val="none" w:sz="0" w:space="0" w:color="auto"/>
        <w:right w:val="none" w:sz="0" w:space="0" w:color="auto"/>
      </w:divBdr>
    </w:div>
    <w:div w:id="967315588">
      <w:bodyDiv w:val="1"/>
      <w:marLeft w:val="0"/>
      <w:marRight w:val="0"/>
      <w:marTop w:val="0"/>
      <w:marBottom w:val="0"/>
      <w:divBdr>
        <w:top w:val="none" w:sz="0" w:space="0" w:color="auto"/>
        <w:left w:val="none" w:sz="0" w:space="0" w:color="auto"/>
        <w:bottom w:val="none" w:sz="0" w:space="0" w:color="auto"/>
        <w:right w:val="none" w:sz="0" w:space="0" w:color="auto"/>
      </w:divBdr>
    </w:div>
    <w:div w:id="1549681603">
      <w:bodyDiv w:val="1"/>
      <w:marLeft w:val="0"/>
      <w:marRight w:val="0"/>
      <w:marTop w:val="0"/>
      <w:marBottom w:val="0"/>
      <w:divBdr>
        <w:top w:val="none" w:sz="0" w:space="0" w:color="auto"/>
        <w:left w:val="none" w:sz="0" w:space="0" w:color="auto"/>
        <w:bottom w:val="none" w:sz="0" w:space="0" w:color="auto"/>
        <w:right w:val="none" w:sz="0" w:space="0" w:color="auto"/>
      </w:divBdr>
      <w:divsChild>
        <w:div w:id="130445285">
          <w:marLeft w:val="1166"/>
          <w:marRight w:val="0"/>
          <w:marTop w:val="86"/>
          <w:marBottom w:val="0"/>
          <w:divBdr>
            <w:top w:val="none" w:sz="0" w:space="0" w:color="auto"/>
            <w:left w:val="none" w:sz="0" w:space="0" w:color="auto"/>
            <w:bottom w:val="none" w:sz="0" w:space="0" w:color="auto"/>
            <w:right w:val="none" w:sz="0" w:space="0" w:color="auto"/>
          </w:divBdr>
        </w:div>
        <w:div w:id="389378993">
          <w:marLeft w:val="1166"/>
          <w:marRight w:val="0"/>
          <w:marTop w:val="86"/>
          <w:marBottom w:val="0"/>
          <w:divBdr>
            <w:top w:val="none" w:sz="0" w:space="0" w:color="auto"/>
            <w:left w:val="none" w:sz="0" w:space="0" w:color="auto"/>
            <w:bottom w:val="none" w:sz="0" w:space="0" w:color="auto"/>
            <w:right w:val="none" w:sz="0" w:space="0" w:color="auto"/>
          </w:divBdr>
        </w:div>
        <w:div w:id="519659649">
          <w:marLeft w:val="1166"/>
          <w:marRight w:val="0"/>
          <w:marTop w:val="86"/>
          <w:marBottom w:val="0"/>
          <w:divBdr>
            <w:top w:val="none" w:sz="0" w:space="0" w:color="auto"/>
            <w:left w:val="none" w:sz="0" w:space="0" w:color="auto"/>
            <w:bottom w:val="none" w:sz="0" w:space="0" w:color="auto"/>
            <w:right w:val="none" w:sz="0" w:space="0" w:color="auto"/>
          </w:divBdr>
        </w:div>
        <w:div w:id="1000352196">
          <w:marLeft w:val="547"/>
          <w:marRight w:val="0"/>
          <w:marTop w:val="130"/>
          <w:marBottom w:val="0"/>
          <w:divBdr>
            <w:top w:val="none" w:sz="0" w:space="0" w:color="auto"/>
            <w:left w:val="none" w:sz="0" w:space="0" w:color="auto"/>
            <w:bottom w:val="none" w:sz="0" w:space="0" w:color="auto"/>
            <w:right w:val="none" w:sz="0" w:space="0" w:color="auto"/>
          </w:divBdr>
        </w:div>
        <w:div w:id="1522084002">
          <w:marLeft w:val="1166"/>
          <w:marRight w:val="0"/>
          <w:marTop w:val="86"/>
          <w:marBottom w:val="0"/>
          <w:divBdr>
            <w:top w:val="none" w:sz="0" w:space="0" w:color="auto"/>
            <w:left w:val="none" w:sz="0" w:space="0" w:color="auto"/>
            <w:bottom w:val="none" w:sz="0" w:space="0" w:color="auto"/>
            <w:right w:val="none" w:sz="0" w:space="0" w:color="auto"/>
          </w:divBdr>
        </w:div>
      </w:divsChild>
    </w:div>
    <w:div w:id="1705254459">
      <w:bodyDiv w:val="1"/>
      <w:marLeft w:val="0"/>
      <w:marRight w:val="0"/>
      <w:marTop w:val="0"/>
      <w:marBottom w:val="0"/>
      <w:divBdr>
        <w:top w:val="none" w:sz="0" w:space="0" w:color="auto"/>
        <w:left w:val="none" w:sz="0" w:space="0" w:color="auto"/>
        <w:bottom w:val="none" w:sz="0" w:space="0" w:color="auto"/>
        <w:right w:val="none" w:sz="0" w:space="0" w:color="auto"/>
      </w:divBdr>
      <w:divsChild>
        <w:div w:id="44108024">
          <w:marLeft w:val="1800"/>
          <w:marRight w:val="0"/>
          <w:marTop w:val="82"/>
          <w:marBottom w:val="0"/>
          <w:divBdr>
            <w:top w:val="none" w:sz="0" w:space="0" w:color="auto"/>
            <w:left w:val="none" w:sz="0" w:space="0" w:color="auto"/>
            <w:bottom w:val="none" w:sz="0" w:space="0" w:color="auto"/>
            <w:right w:val="none" w:sz="0" w:space="0" w:color="auto"/>
          </w:divBdr>
        </w:div>
        <w:div w:id="157422886">
          <w:marLeft w:val="1166"/>
          <w:marRight w:val="0"/>
          <w:marTop w:val="96"/>
          <w:marBottom w:val="0"/>
          <w:divBdr>
            <w:top w:val="none" w:sz="0" w:space="0" w:color="auto"/>
            <w:left w:val="none" w:sz="0" w:space="0" w:color="auto"/>
            <w:bottom w:val="none" w:sz="0" w:space="0" w:color="auto"/>
            <w:right w:val="none" w:sz="0" w:space="0" w:color="auto"/>
          </w:divBdr>
        </w:div>
        <w:div w:id="438112934">
          <w:marLeft w:val="547"/>
          <w:marRight w:val="0"/>
          <w:marTop w:val="106"/>
          <w:marBottom w:val="0"/>
          <w:divBdr>
            <w:top w:val="none" w:sz="0" w:space="0" w:color="auto"/>
            <w:left w:val="none" w:sz="0" w:space="0" w:color="auto"/>
            <w:bottom w:val="none" w:sz="0" w:space="0" w:color="auto"/>
            <w:right w:val="none" w:sz="0" w:space="0" w:color="auto"/>
          </w:divBdr>
        </w:div>
        <w:div w:id="595019319">
          <w:marLeft w:val="1800"/>
          <w:marRight w:val="0"/>
          <w:marTop w:val="82"/>
          <w:marBottom w:val="0"/>
          <w:divBdr>
            <w:top w:val="none" w:sz="0" w:space="0" w:color="auto"/>
            <w:left w:val="none" w:sz="0" w:space="0" w:color="auto"/>
            <w:bottom w:val="none" w:sz="0" w:space="0" w:color="auto"/>
            <w:right w:val="none" w:sz="0" w:space="0" w:color="auto"/>
          </w:divBdr>
        </w:div>
        <w:div w:id="1294409776">
          <w:marLeft w:val="547"/>
          <w:marRight w:val="0"/>
          <w:marTop w:val="106"/>
          <w:marBottom w:val="0"/>
          <w:divBdr>
            <w:top w:val="none" w:sz="0" w:space="0" w:color="auto"/>
            <w:left w:val="none" w:sz="0" w:space="0" w:color="auto"/>
            <w:bottom w:val="none" w:sz="0" w:space="0" w:color="auto"/>
            <w:right w:val="none" w:sz="0" w:space="0" w:color="auto"/>
          </w:divBdr>
        </w:div>
        <w:div w:id="1807357971">
          <w:marLeft w:val="1166"/>
          <w:marRight w:val="0"/>
          <w:marTop w:val="96"/>
          <w:marBottom w:val="0"/>
          <w:divBdr>
            <w:top w:val="none" w:sz="0" w:space="0" w:color="auto"/>
            <w:left w:val="none" w:sz="0" w:space="0" w:color="auto"/>
            <w:bottom w:val="none" w:sz="0" w:space="0" w:color="auto"/>
            <w:right w:val="none" w:sz="0" w:space="0" w:color="auto"/>
          </w:divBdr>
        </w:div>
        <w:div w:id="2065445609">
          <w:marLeft w:val="1800"/>
          <w:marRight w:val="0"/>
          <w:marTop w:val="82"/>
          <w:marBottom w:val="0"/>
          <w:divBdr>
            <w:top w:val="none" w:sz="0" w:space="0" w:color="auto"/>
            <w:left w:val="none" w:sz="0" w:space="0" w:color="auto"/>
            <w:bottom w:val="none" w:sz="0" w:space="0" w:color="auto"/>
            <w:right w:val="none" w:sz="0" w:space="0" w:color="auto"/>
          </w:divBdr>
        </w:div>
        <w:div w:id="2129350010">
          <w:marLeft w:val="1166"/>
          <w:marRight w:val="0"/>
          <w:marTop w:val="96"/>
          <w:marBottom w:val="0"/>
          <w:divBdr>
            <w:top w:val="none" w:sz="0" w:space="0" w:color="auto"/>
            <w:left w:val="none" w:sz="0" w:space="0" w:color="auto"/>
            <w:bottom w:val="none" w:sz="0" w:space="0" w:color="auto"/>
            <w:right w:val="none" w:sz="0" w:space="0" w:color="auto"/>
          </w:divBdr>
        </w:div>
      </w:divsChild>
    </w:div>
    <w:div w:id="1950506759">
      <w:bodyDiv w:val="1"/>
      <w:marLeft w:val="0"/>
      <w:marRight w:val="0"/>
      <w:marTop w:val="0"/>
      <w:marBottom w:val="0"/>
      <w:divBdr>
        <w:top w:val="none" w:sz="0" w:space="0" w:color="auto"/>
        <w:left w:val="none" w:sz="0" w:space="0" w:color="auto"/>
        <w:bottom w:val="none" w:sz="0" w:space="0" w:color="auto"/>
        <w:right w:val="none" w:sz="0" w:space="0" w:color="auto"/>
      </w:divBdr>
      <w:divsChild>
        <w:div w:id="1243180104">
          <w:marLeft w:val="1166"/>
          <w:marRight w:val="0"/>
          <w:marTop w:val="110"/>
          <w:marBottom w:val="0"/>
          <w:divBdr>
            <w:top w:val="none" w:sz="0" w:space="0" w:color="auto"/>
            <w:left w:val="none" w:sz="0" w:space="0" w:color="auto"/>
            <w:bottom w:val="none" w:sz="0" w:space="0" w:color="auto"/>
            <w:right w:val="none" w:sz="0" w:space="0" w:color="auto"/>
          </w:divBdr>
        </w:div>
        <w:div w:id="1499810776">
          <w:marLeft w:val="547"/>
          <w:marRight w:val="0"/>
          <w:marTop w:val="130"/>
          <w:marBottom w:val="0"/>
          <w:divBdr>
            <w:top w:val="none" w:sz="0" w:space="0" w:color="auto"/>
            <w:left w:val="none" w:sz="0" w:space="0" w:color="auto"/>
            <w:bottom w:val="none" w:sz="0" w:space="0" w:color="auto"/>
            <w:right w:val="none" w:sz="0" w:space="0" w:color="auto"/>
          </w:divBdr>
        </w:div>
        <w:div w:id="1739472460">
          <w:marLeft w:val="1166"/>
          <w:marRight w:val="0"/>
          <w:marTop w:val="11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9F6CB-8428-455F-B426-A449F73B0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Pages>
  <Words>1286</Words>
  <Characters>7332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10</cp:revision>
  <dcterms:created xsi:type="dcterms:W3CDTF">2019-05-02T14:32:00Z</dcterms:created>
  <dcterms:modified xsi:type="dcterms:W3CDTF">2019-05-03T11:38:00Z</dcterms:modified>
</cp:coreProperties>
</file>